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954"/>
      </w:tblGrid>
      <w:tr w:rsidR="00DF2FF0" w:rsidRPr="00DF2FF0" w:rsidTr="00940C14">
        <w:tc>
          <w:tcPr>
            <w:tcW w:w="3085" w:type="dxa"/>
            <w:tcBorders>
              <w:top w:val="nil"/>
              <w:left w:val="nil"/>
              <w:bottom w:val="nil"/>
              <w:right w:val="nil"/>
            </w:tcBorders>
          </w:tcPr>
          <w:p w:rsidR="00DF2FF0" w:rsidRDefault="00DF2FF0" w:rsidP="0086756C">
            <w:pPr>
              <w:spacing w:after="0" w:line="240" w:lineRule="auto"/>
              <w:jc w:val="center"/>
              <w:rPr>
                <w:b/>
                <w:szCs w:val="28"/>
              </w:rPr>
            </w:pPr>
            <w:bookmarkStart w:id="0" w:name="_GoBack"/>
            <w:bookmarkEnd w:id="0"/>
            <w:r w:rsidRPr="00DF2FF0">
              <w:rPr>
                <w:b/>
                <w:szCs w:val="28"/>
              </w:rPr>
              <w:t>TỈNH ỦY HÀ TĨNH</w:t>
            </w:r>
          </w:p>
          <w:p w:rsidR="00806307" w:rsidRPr="00DF2FF0" w:rsidRDefault="00806307" w:rsidP="0086756C">
            <w:pPr>
              <w:spacing w:after="0" w:line="240" w:lineRule="auto"/>
              <w:jc w:val="center"/>
              <w:rPr>
                <w:b/>
                <w:szCs w:val="28"/>
              </w:rPr>
            </w:pPr>
            <w:r>
              <w:rPr>
                <w:b/>
                <w:szCs w:val="28"/>
              </w:rPr>
              <w:t>*</w:t>
            </w:r>
          </w:p>
          <w:p w:rsidR="00090AB8" w:rsidRDefault="00DF2FF0" w:rsidP="0086756C">
            <w:pPr>
              <w:spacing w:after="0" w:line="240" w:lineRule="auto"/>
              <w:jc w:val="center"/>
              <w:rPr>
                <w:szCs w:val="28"/>
              </w:rPr>
            </w:pPr>
            <w:r w:rsidRPr="00DF2FF0">
              <w:rPr>
                <w:szCs w:val="28"/>
              </w:rPr>
              <w:t xml:space="preserve">Số- CTr/TU   </w:t>
            </w:r>
          </w:p>
          <w:p w:rsidR="00DF2FF0" w:rsidRPr="00090AB8" w:rsidRDefault="00090AB8" w:rsidP="0086756C">
            <w:pPr>
              <w:spacing w:after="0" w:line="240" w:lineRule="auto"/>
              <w:jc w:val="center"/>
              <w:rPr>
                <w:b/>
                <w:szCs w:val="28"/>
              </w:rPr>
            </w:pPr>
            <w:r w:rsidRPr="00090AB8">
              <w:rPr>
                <w:b/>
                <w:szCs w:val="28"/>
              </w:rPr>
              <w:t>(Dự thảo)</w:t>
            </w:r>
          </w:p>
        </w:tc>
        <w:tc>
          <w:tcPr>
            <w:tcW w:w="5954" w:type="dxa"/>
            <w:tcBorders>
              <w:top w:val="nil"/>
              <w:left w:val="nil"/>
              <w:bottom w:val="nil"/>
              <w:right w:val="nil"/>
            </w:tcBorders>
          </w:tcPr>
          <w:p w:rsidR="00DF2FF0" w:rsidRPr="00DF2FF0" w:rsidRDefault="00DF2FF0" w:rsidP="0086756C">
            <w:pPr>
              <w:spacing w:after="0" w:line="240" w:lineRule="auto"/>
              <w:jc w:val="right"/>
              <w:rPr>
                <w:b/>
                <w:sz w:val="30"/>
                <w:szCs w:val="30"/>
              </w:rPr>
            </w:pPr>
            <w:r w:rsidRPr="00DF2FF0">
              <w:rPr>
                <w:b/>
                <w:sz w:val="30"/>
                <w:szCs w:val="30"/>
              </w:rPr>
              <w:t>ĐẢNG CỘNG SẢN VIỆT NAM</w:t>
            </w:r>
          </w:p>
          <w:p w:rsidR="00DF2FF0" w:rsidRPr="00DF2FF0" w:rsidRDefault="004B6053" w:rsidP="0086756C">
            <w:pPr>
              <w:spacing w:after="0" w:line="240" w:lineRule="auto"/>
              <w:ind w:firstLine="567"/>
              <w:jc w:val="right"/>
              <w:rPr>
                <w:i/>
                <w:szCs w:val="28"/>
              </w:rPr>
            </w:pP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1080770</wp:posOffset>
                      </wp:positionH>
                      <wp:positionV relativeFrom="paragraph">
                        <wp:posOffset>33019</wp:posOffset>
                      </wp:positionV>
                      <wp:extent cx="2562225" cy="0"/>
                      <wp:effectExtent l="0" t="0" r="952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62225" cy="0"/>
                              </a:xfrm>
                              <a:prstGeom prst="line">
                                <a:avLst/>
                              </a:prstGeom>
                              <a:noFill/>
                              <a:ln w="9525" cap="flat" cmpd="sng" algn="ctr">
                                <a:solidFill>
                                  <a:sysClr val="windowText" lastClr="000000">
                                    <a:shade val="95000"/>
                                    <a:satMod val="105000"/>
                                  </a:sysClr>
                                </a:solidFill>
                                <a:prstDash val="solid"/>
                                <a:headEnd/>
                                <a:tailEnd/>
                              </a:ln>
                              <a:effectLst/>
                              <a:ex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85.1pt,2.6pt" to="286.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">
                      <o:lock v:ext="edit" shapetype="f"/>
                    </v:line>
                  </w:pict>
                </mc:Fallback>
              </mc:AlternateContent>
            </w:r>
          </w:p>
          <w:p w:rsidR="00DF2FF0" w:rsidRPr="00DF2FF0" w:rsidRDefault="00FC26AF" w:rsidP="0086756C">
            <w:pPr>
              <w:spacing w:after="0" w:line="240" w:lineRule="auto"/>
              <w:jc w:val="right"/>
              <w:rPr>
                <w:szCs w:val="28"/>
              </w:rPr>
            </w:pPr>
            <w:r>
              <w:rPr>
                <w:i/>
                <w:szCs w:val="28"/>
              </w:rPr>
              <w:t xml:space="preserve">    Hà Tĩnh, ngày       tháng </w:t>
            </w:r>
            <w:r w:rsidR="00FD00D8">
              <w:rPr>
                <w:i/>
                <w:szCs w:val="28"/>
              </w:rPr>
              <w:t>10</w:t>
            </w:r>
            <w:r w:rsidR="00DF2FF0" w:rsidRPr="00DF2FF0">
              <w:rPr>
                <w:i/>
                <w:szCs w:val="28"/>
              </w:rPr>
              <w:t xml:space="preserve"> năm 2018</w:t>
            </w:r>
          </w:p>
          <w:p w:rsidR="00DF2FF0" w:rsidRPr="00DF2FF0" w:rsidRDefault="00DF2FF0" w:rsidP="0086756C">
            <w:pPr>
              <w:spacing w:after="0" w:line="240" w:lineRule="auto"/>
              <w:jc w:val="center"/>
              <w:rPr>
                <w:b/>
                <w:sz w:val="16"/>
                <w:szCs w:val="28"/>
                <w:u w:val="single"/>
              </w:rPr>
            </w:pPr>
          </w:p>
        </w:tc>
      </w:tr>
    </w:tbl>
    <w:p w:rsidR="00DF2FF0" w:rsidRPr="00805AF0" w:rsidRDefault="00DF2FF0" w:rsidP="00DF2FF0">
      <w:pPr>
        <w:spacing w:before="120" w:after="0" w:line="240" w:lineRule="auto"/>
        <w:jc w:val="center"/>
        <w:rPr>
          <w:b/>
          <w:sz w:val="4"/>
          <w:szCs w:val="28"/>
        </w:rPr>
      </w:pPr>
    </w:p>
    <w:p w:rsidR="00DF2FF0" w:rsidRPr="0091185E" w:rsidRDefault="00DF2FF0" w:rsidP="00DF2FF0">
      <w:pPr>
        <w:spacing w:before="120" w:after="0" w:line="240" w:lineRule="auto"/>
        <w:jc w:val="center"/>
        <w:rPr>
          <w:szCs w:val="28"/>
        </w:rPr>
      </w:pPr>
      <w:r w:rsidRPr="0091185E">
        <w:rPr>
          <w:b/>
          <w:szCs w:val="28"/>
        </w:rPr>
        <w:t>CHƯƠNG TRÌNH HÀNH ĐỘNG</w:t>
      </w:r>
    </w:p>
    <w:p w:rsidR="00DF2FF0" w:rsidRPr="00804567" w:rsidRDefault="00DF2FF0" w:rsidP="00DF2FF0">
      <w:pPr>
        <w:spacing w:after="0" w:line="240" w:lineRule="auto"/>
        <w:jc w:val="center"/>
        <w:rPr>
          <w:b/>
          <w:szCs w:val="28"/>
        </w:rPr>
      </w:pPr>
      <w:r w:rsidRPr="00804567">
        <w:rPr>
          <w:b/>
          <w:szCs w:val="28"/>
        </w:rPr>
        <w:t>Thực hiện Nghị quyết số</w:t>
      </w:r>
      <w:r w:rsidR="00560AE0">
        <w:rPr>
          <w:b/>
          <w:szCs w:val="28"/>
        </w:rPr>
        <w:t xml:space="preserve"> 27</w:t>
      </w:r>
      <w:r w:rsidRPr="00804567">
        <w:rPr>
          <w:b/>
          <w:szCs w:val="28"/>
        </w:rPr>
        <w:t>-NQ/TW</w:t>
      </w:r>
      <w:r>
        <w:rPr>
          <w:b/>
          <w:szCs w:val="28"/>
        </w:rPr>
        <w:t>,</w:t>
      </w:r>
      <w:r w:rsidR="00560AE0">
        <w:rPr>
          <w:b/>
          <w:szCs w:val="28"/>
        </w:rPr>
        <w:t xml:space="preserve"> ngày 21</w:t>
      </w:r>
      <w:r w:rsidRPr="00804567">
        <w:rPr>
          <w:b/>
          <w:szCs w:val="28"/>
        </w:rPr>
        <w:t xml:space="preserve"> tháng </w:t>
      </w:r>
      <w:r w:rsidR="00560AE0">
        <w:rPr>
          <w:b/>
          <w:szCs w:val="28"/>
        </w:rPr>
        <w:t>5</w:t>
      </w:r>
      <w:r w:rsidRPr="00804567">
        <w:rPr>
          <w:b/>
          <w:szCs w:val="28"/>
        </w:rPr>
        <w:t xml:space="preserve"> năm 201</w:t>
      </w:r>
      <w:r w:rsidR="00560AE0">
        <w:rPr>
          <w:b/>
          <w:szCs w:val="28"/>
        </w:rPr>
        <w:t>8</w:t>
      </w:r>
    </w:p>
    <w:p w:rsidR="00DF2FF0" w:rsidRDefault="00DF2FF0" w:rsidP="00DF2FF0">
      <w:pPr>
        <w:spacing w:after="0" w:line="240" w:lineRule="auto"/>
        <w:jc w:val="center"/>
        <w:rPr>
          <w:b/>
          <w:szCs w:val="28"/>
        </w:rPr>
      </w:pPr>
      <w:r w:rsidRPr="00804567">
        <w:rPr>
          <w:b/>
          <w:szCs w:val="28"/>
        </w:rPr>
        <w:t xml:space="preserve">Hội nghị lần thứ </w:t>
      </w:r>
      <w:r w:rsidR="00560AE0">
        <w:rPr>
          <w:b/>
          <w:szCs w:val="28"/>
        </w:rPr>
        <w:t>7</w:t>
      </w:r>
      <w:r w:rsidRPr="00804567">
        <w:rPr>
          <w:b/>
          <w:szCs w:val="28"/>
        </w:rPr>
        <w:t xml:space="preserve"> Ban Chấp hành Trung ương Đảng </w:t>
      </w:r>
      <w:r>
        <w:rPr>
          <w:b/>
          <w:szCs w:val="28"/>
        </w:rPr>
        <w:t>k</w:t>
      </w:r>
      <w:r w:rsidRPr="00804567">
        <w:rPr>
          <w:b/>
          <w:szCs w:val="28"/>
        </w:rPr>
        <w:t xml:space="preserve">hóa XII về </w:t>
      </w:r>
    </w:p>
    <w:p w:rsidR="00DF2FF0" w:rsidRPr="00804567" w:rsidRDefault="00560AE0" w:rsidP="00DF2FF0">
      <w:pPr>
        <w:spacing w:after="0" w:line="240" w:lineRule="auto"/>
        <w:jc w:val="center"/>
        <w:rPr>
          <w:b/>
          <w:szCs w:val="28"/>
        </w:rPr>
      </w:pPr>
      <w:r>
        <w:rPr>
          <w:b/>
          <w:szCs w:val="28"/>
        </w:rPr>
        <w:t>Cải cách chính sách tiền lương đối với cán bộ, công chức, viên chức, lực lượng vũ trang và người lao động trong doanh nghiệp</w:t>
      </w:r>
    </w:p>
    <w:p w:rsidR="00DF2FF0" w:rsidRPr="00131A1F" w:rsidRDefault="00DF2FF0" w:rsidP="00DF2FF0">
      <w:pPr>
        <w:spacing w:before="120" w:after="0" w:line="240" w:lineRule="auto"/>
        <w:jc w:val="both"/>
        <w:rPr>
          <w:spacing w:val="-2"/>
          <w:szCs w:val="28"/>
        </w:rPr>
      </w:pPr>
    </w:p>
    <w:p w:rsidR="00DF2FF0" w:rsidRPr="00686E3F" w:rsidRDefault="00E36AE7" w:rsidP="00686E3F">
      <w:pPr>
        <w:spacing w:before="120" w:after="0" w:line="240" w:lineRule="auto"/>
        <w:jc w:val="both"/>
        <w:rPr>
          <w:color w:val="000000"/>
          <w:szCs w:val="28"/>
        </w:rPr>
      </w:pPr>
      <w:r w:rsidRPr="00686E3F">
        <w:rPr>
          <w:color w:val="000000"/>
          <w:szCs w:val="28"/>
        </w:rPr>
        <w:tab/>
      </w:r>
      <w:r w:rsidR="00DF2FF0" w:rsidRPr="00686E3F">
        <w:rPr>
          <w:color w:val="000000"/>
          <w:szCs w:val="28"/>
        </w:rPr>
        <w:t xml:space="preserve">Thực hiện </w:t>
      </w:r>
      <w:r w:rsidRPr="00686E3F">
        <w:rPr>
          <w:szCs w:val="28"/>
        </w:rPr>
        <w:t>Nghị quyết số 27-NQ/TW, ngày 21 tháng 5 năm 2018 Hội nghị lần thứ 7 Ban Chấp hành Trung ương Đảng khóa XII về cải cách chính sách tiền lương đối với cán bộ, công chức, viên chức, lực lượng vũ trang và người lao động trong doanh nghiệp</w:t>
      </w:r>
      <w:r w:rsidR="00DF2FF0" w:rsidRPr="00686E3F">
        <w:rPr>
          <w:color w:val="000000"/>
          <w:szCs w:val="28"/>
        </w:rPr>
        <w:t xml:space="preserve"> (sau đây gọi tắt là Nghị quyết số </w:t>
      </w:r>
      <w:r w:rsidR="000F575E" w:rsidRPr="00686E3F">
        <w:rPr>
          <w:color w:val="000000"/>
          <w:szCs w:val="28"/>
        </w:rPr>
        <w:t>27</w:t>
      </w:r>
      <w:r w:rsidR="00DF2FF0" w:rsidRPr="00686E3F">
        <w:rPr>
          <w:color w:val="000000"/>
          <w:szCs w:val="28"/>
        </w:rPr>
        <w:t>-NQ/TW Khóa XII), Ban Chấp hành Đảng bộ tỉnh ban hành Chương trình hành động thực hiện Nghị quyết số</w:t>
      </w:r>
      <w:r w:rsidR="000F575E" w:rsidRPr="00686E3F">
        <w:rPr>
          <w:color w:val="000000"/>
          <w:szCs w:val="28"/>
        </w:rPr>
        <w:t xml:space="preserve"> 27</w:t>
      </w:r>
      <w:r w:rsidR="00DF2FF0" w:rsidRPr="00686E3F">
        <w:rPr>
          <w:color w:val="000000"/>
          <w:szCs w:val="28"/>
        </w:rPr>
        <w:t>-NQ/TW khóa XII như sau:</w:t>
      </w:r>
    </w:p>
    <w:p w:rsidR="00DF2FF0" w:rsidRPr="000B7E7A" w:rsidRDefault="00DF2FF0" w:rsidP="00686E3F">
      <w:pPr>
        <w:spacing w:before="120" w:after="0" w:line="240" w:lineRule="auto"/>
        <w:ind w:firstLine="720"/>
        <w:jc w:val="both"/>
        <w:rPr>
          <w:b/>
          <w:color w:val="000000"/>
          <w:sz w:val="26"/>
          <w:szCs w:val="26"/>
        </w:rPr>
      </w:pPr>
      <w:r w:rsidRPr="000B7E7A">
        <w:rPr>
          <w:b/>
          <w:color w:val="000000"/>
          <w:sz w:val="26"/>
          <w:szCs w:val="26"/>
        </w:rPr>
        <w:t>I.  MỤC ĐÍCH, YÊU CẦU</w:t>
      </w:r>
    </w:p>
    <w:p w:rsidR="00DF2FF0" w:rsidRPr="00686E3F" w:rsidRDefault="00DF2FF0" w:rsidP="00686E3F">
      <w:pPr>
        <w:spacing w:before="120" w:after="0" w:line="240" w:lineRule="auto"/>
        <w:ind w:firstLine="720"/>
        <w:jc w:val="both"/>
        <w:rPr>
          <w:b/>
          <w:color w:val="000000"/>
          <w:szCs w:val="28"/>
        </w:rPr>
      </w:pPr>
      <w:r w:rsidRPr="00686E3F">
        <w:rPr>
          <w:b/>
          <w:color w:val="000000"/>
          <w:szCs w:val="28"/>
        </w:rPr>
        <w:t>1. Mục đích</w:t>
      </w:r>
    </w:p>
    <w:p w:rsidR="00DF2FF0" w:rsidRPr="00686E3F" w:rsidRDefault="00DF2FF0" w:rsidP="00686E3F">
      <w:pPr>
        <w:spacing w:before="120" w:after="0" w:line="240" w:lineRule="auto"/>
        <w:ind w:firstLine="720"/>
        <w:jc w:val="both"/>
        <w:rPr>
          <w:color w:val="000000"/>
          <w:spacing w:val="-4"/>
          <w:szCs w:val="28"/>
        </w:rPr>
      </w:pPr>
      <w:r w:rsidRPr="00686E3F">
        <w:rPr>
          <w:color w:val="000000"/>
          <w:spacing w:val="-4"/>
          <w:szCs w:val="28"/>
        </w:rPr>
        <w:t xml:space="preserve">- Tổ chức quán triệt, tuyên truyền, phổ biến sâu rộng và thực hiện nghiêm túc, hiệu quả </w:t>
      </w:r>
      <w:r w:rsidR="000F575E" w:rsidRPr="00686E3F">
        <w:rPr>
          <w:color w:val="000000"/>
          <w:szCs w:val="28"/>
        </w:rPr>
        <w:t>Nghị quyết số 27-NQ/TW Khóa XII</w:t>
      </w:r>
      <w:r w:rsidRPr="00686E3F">
        <w:rPr>
          <w:color w:val="000000"/>
          <w:spacing w:val="-4"/>
          <w:szCs w:val="28"/>
        </w:rPr>
        <w:t>; tạo sự đồng thuận, thống nhất cao trong nhận thức, hành động của các cấp ủy đảng, chính quyền, Mặt trận Tổ quốc, các đoàn thể chính trị - xã hội và đảng viên, cán bộ, công chức, viên chức, người lao động trên địa bàn tỉnh về</w:t>
      </w:r>
      <w:r w:rsidR="000F575E" w:rsidRPr="00686E3F">
        <w:rPr>
          <w:color w:val="000000"/>
          <w:spacing w:val="-4"/>
          <w:szCs w:val="28"/>
        </w:rPr>
        <w:t xml:space="preserve"> chính sách tiền lương mới</w:t>
      </w:r>
      <w:r w:rsidR="0008660B" w:rsidRPr="00686E3F">
        <w:rPr>
          <w:color w:val="000000"/>
          <w:spacing w:val="-4"/>
          <w:szCs w:val="28"/>
        </w:rPr>
        <w:t>.</w:t>
      </w:r>
    </w:p>
    <w:p w:rsidR="005220EC" w:rsidRPr="00686E3F" w:rsidRDefault="005220EC" w:rsidP="00686E3F">
      <w:pPr>
        <w:spacing w:before="120" w:after="0" w:line="240" w:lineRule="auto"/>
        <w:ind w:firstLine="720"/>
        <w:jc w:val="both"/>
        <w:rPr>
          <w:color w:val="000000"/>
          <w:spacing w:val="-4"/>
          <w:szCs w:val="28"/>
        </w:rPr>
      </w:pPr>
      <w:r w:rsidRPr="00686E3F">
        <w:rPr>
          <w:color w:val="000000"/>
          <w:spacing w:val="-4"/>
          <w:szCs w:val="28"/>
        </w:rPr>
        <w:t>- Chuẩn bị các tiền đề để áp dụng chính sách tiền lương mớ</w:t>
      </w:r>
      <w:r w:rsidR="004904D6" w:rsidRPr="00686E3F">
        <w:rPr>
          <w:color w:val="000000"/>
          <w:spacing w:val="-4"/>
          <w:szCs w:val="28"/>
        </w:rPr>
        <w:t>i vào năm 2021</w:t>
      </w:r>
      <w:r w:rsidR="00B93896" w:rsidRPr="00686E3F">
        <w:rPr>
          <w:color w:val="000000"/>
          <w:spacing w:val="-4"/>
          <w:szCs w:val="28"/>
        </w:rPr>
        <w:t xml:space="preserve"> theo đúng lộ trình, mục tiêu đề ra tại Nghị quyết số </w:t>
      </w:r>
      <w:r w:rsidR="00B93896" w:rsidRPr="00686E3F">
        <w:rPr>
          <w:color w:val="000000"/>
          <w:szCs w:val="28"/>
        </w:rPr>
        <w:t>27-NQ/TW.</w:t>
      </w:r>
    </w:p>
    <w:p w:rsidR="00DF2FF0" w:rsidRPr="00686E3F" w:rsidRDefault="00DF2FF0" w:rsidP="00686E3F">
      <w:pPr>
        <w:spacing w:before="120" w:after="0" w:line="240" w:lineRule="auto"/>
        <w:ind w:firstLine="720"/>
        <w:jc w:val="both"/>
        <w:rPr>
          <w:b/>
          <w:color w:val="000000"/>
          <w:szCs w:val="28"/>
          <w:lang w:val="es-ES"/>
        </w:rPr>
      </w:pPr>
      <w:r w:rsidRPr="00686E3F">
        <w:rPr>
          <w:b/>
          <w:color w:val="000000"/>
          <w:szCs w:val="28"/>
          <w:lang w:val="es-ES"/>
        </w:rPr>
        <w:t>2. Yêu cầu</w:t>
      </w:r>
    </w:p>
    <w:p w:rsidR="0011433A" w:rsidRPr="00686E3F" w:rsidRDefault="00DF2FF0" w:rsidP="00686E3F">
      <w:pPr>
        <w:spacing w:before="120" w:after="0" w:line="240" w:lineRule="auto"/>
        <w:ind w:firstLine="720"/>
        <w:jc w:val="both"/>
        <w:rPr>
          <w:color w:val="000000"/>
          <w:szCs w:val="28"/>
        </w:rPr>
      </w:pPr>
      <w:r w:rsidRPr="00686E3F">
        <w:rPr>
          <w:color w:val="000000"/>
          <w:szCs w:val="28"/>
        </w:rPr>
        <w:t>Các cấp ủy đảng, chính quyền, các sở, ban, ngành, Mặt trận Tổ quốc và các tổ chức chính trị - xã hội</w:t>
      </w:r>
      <w:r w:rsidR="00FB1BB5">
        <w:rPr>
          <w:color w:val="000000"/>
          <w:szCs w:val="28"/>
        </w:rPr>
        <w:t>, doanh nghiệp</w:t>
      </w:r>
      <w:r w:rsidRPr="00686E3F">
        <w:rPr>
          <w:color w:val="000000"/>
          <w:szCs w:val="28"/>
        </w:rPr>
        <w:t xml:space="preserve"> triể</w:t>
      </w:r>
      <w:r w:rsidR="004A2AB5" w:rsidRPr="00686E3F">
        <w:rPr>
          <w:color w:val="000000"/>
          <w:szCs w:val="28"/>
        </w:rPr>
        <w:t xml:space="preserve">n khai phổ biến các nội dung của nghị quyết và trong phạm vi chức năng, nhiệm vụ của đơn vị mình </w:t>
      </w:r>
      <w:r w:rsidR="00521EEC" w:rsidRPr="00686E3F">
        <w:rPr>
          <w:color w:val="000000"/>
          <w:szCs w:val="28"/>
        </w:rPr>
        <w:t xml:space="preserve">và tập trung </w:t>
      </w:r>
      <w:r w:rsidR="004A2AB5" w:rsidRPr="00686E3F">
        <w:rPr>
          <w:color w:val="000000"/>
          <w:szCs w:val="28"/>
        </w:rPr>
        <w:t>thực hiện các</w:t>
      </w:r>
      <w:r w:rsidR="002D2E7F" w:rsidRPr="00686E3F">
        <w:rPr>
          <w:color w:val="000000"/>
          <w:szCs w:val="28"/>
        </w:rPr>
        <w:t xml:space="preserve"> giải pháp để tạo tiền đề, tạo nguồn cho</w:t>
      </w:r>
      <w:r w:rsidRPr="00686E3F">
        <w:rPr>
          <w:color w:val="000000"/>
          <w:szCs w:val="28"/>
        </w:rPr>
        <w:t xml:space="preserve"> thực hiện </w:t>
      </w:r>
      <w:r w:rsidR="0011433A" w:rsidRPr="00686E3F">
        <w:rPr>
          <w:color w:val="000000"/>
          <w:szCs w:val="28"/>
        </w:rPr>
        <w:t>Nghị quyết số 27-NQ/TW Khóa XII</w:t>
      </w:r>
      <w:r w:rsidR="00F57430">
        <w:rPr>
          <w:color w:val="000000"/>
          <w:szCs w:val="28"/>
        </w:rPr>
        <w:t>.</w:t>
      </w:r>
    </w:p>
    <w:p w:rsidR="00DF2FF0" w:rsidRPr="000B7E7A" w:rsidRDefault="00550B26" w:rsidP="00686E3F">
      <w:pPr>
        <w:spacing w:before="120" w:after="0" w:line="240" w:lineRule="auto"/>
        <w:ind w:firstLine="720"/>
        <w:jc w:val="both"/>
        <w:rPr>
          <w:b/>
          <w:sz w:val="26"/>
          <w:szCs w:val="26"/>
        </w:rPr>
      </w:pPr>
      <w:r w:rsidRPr="000B7E7A">
        <w:rPr>
          <w:b/>
          <w:sz w:val="26"/>
          <w:szCs w:val="26"/>
        </w:rPr>
        <w:t>II.</w:t>
      </w:r>
      <w:r w:rsidR="00DF2FF0" w:rsidRPr="000B7E7A">
        <w:rPr>
          <w:b/>
          <w:sz w:val="26"/>
          <w:szCs w:val="26"/>
        </w:rPr>
        <w:t xml:space="preserve"> NHIỆM VỤ VÀ GIẢI PHÁP CHỦ YẾU</w:t>
      </w:r>
    </w:p>
    <w:p w:rsidR="00DF2FF0" w:rsidRPr="00686E3F" w:rsidRDefault="00DF2FF0" w:rsidP="00686E3F">
      <w:pPr>
        <w:spacing w:before="120" w:after="0" w:line="240" w:lineRule="auto"/>
        <w:ind w:firstLine="720"/>
        <w:jc w:val="both"/>
        <w:rPr>
          <w:b/>
          <w:szCs w:val="28"/>
        </w:rPr>
      </w:pPr>
      <w:r w:rsidRPr="00686E3F">
        <w:rPr>
          <w:b/>
          <w:szCs w:val="28"/>
        </w:rPr>
        <w:t>1. Triển khai kịp thời, hiệu quả công tác thông tin, tuyên truyền</w:t>
      </w:r>
    </w:p>
    <w:p w:rsidR="00590C30" w:rsidRDefault="00F17983" w:rsidP="00686E3F">
      <w:pPr>
        <w:spacing w:before="120" w:after="0" w:line="240" w:lineRule="auto"/>
        <w:jc w:val="both"/>
        <w:rPr>
          <w:rFonts w:eastAsia="Times New Roman"/>
          <w:szCs w:val="28"/>
        </w:rPr>
      </w:pPr>
      <w:r w:rsidRPr="00686E3F">
        <w:rPr>
          <w:rFonts w:eastAsia="Times New Roman"/>
          <w:b/>
          <w:bCs/>
          <w:szCs w:val="28"/>
        </w:rPr>
        <w:tab/>
      </w:r>
      <w:r w:rsidR="00590C30" w:rsidRPr="00686E3F">
        <w:rPr>
          <w:rFonts w:eastAsia="Times New Roman"/>
          <w:szCs w:val="28"/>
        </w:rPr>
        <w:t>Đẩy mạnh công tác thông tin, tuyên truyền, nâng cao nhận thức</w:t>
      </w:r>
      <w:r w:rsidR="00590C30" w:rsidRPr="00686E3F">
        <w:rPr>
          <w:rFonts w:eastAsia="Times New Roman"/>
          <w:b/>
          <w:bCs/>
          <w:szCs w:val="28"/>
        </w:rPr>
        <w:t> </w:t>
      </w:r>
      <w:r w:rsidR="00590C30" w:rsidRPr="00686E3F">
        <w:rPr>
          <w:rFonts w:eastAsia="Times New Roman"/>
          <w:szCs w:val="28"/>
        </w:rPr>
        <w:t>về</w:t>
      </w:r>
      <w:r w:rsidR="00590C30" w:rsidRPr="00686E3F">
        <w:rPr>
          <w:rFonts w:eastAsia="Times New Roman"/>
          <w:b/>
          <w:bCs/>
          <w:szCs w:val="28"/>
        </w:rPr>
        <w:t> </w:t>
      </w:r>
      <w:r w:rsidR="00590C30" w:rsidRPr="00686E3F">
        <w:rPr>
          <w:rFonts w:eastAsia="Times New Roman"/>
          <w:szCs w:val="28"/>
        </w:rPr>
        <w:t xml:space="preserve">quan điểm, mục tiêu, ý nghĩa, yêu cầu, nội dung của cải cách chính sách tiền lương đối với cán bộ, công chức, viên chức, lực lượng vũ trang và người lao động trong các doanh nghiệp. </w:t>
      </w:r>
      <w:r w:rsidR="00900AB7" w:rsidRPr="00686E3F">
        <w:rPr>
          <w:rFonts w:eastAsia="Times New Roman"/>
          <w:szCs w:val="28"/>
        </w:rPr>
        <w:t xml:space="preserve">Cần nhận thức rõ cải cách tiền lương là một vấn đề chính trị, kinh tế - xã hội hết sức quan trọng, phức tạp, ảnh hưởng sâu rộng đến nhiều đối tượng, nhiều lĩnh vực và nhiều năm, từ đó tích cực triển khai các biện pháp để </w:t>
      </w:r>
      <w:r w:rsidR="00D47097" w:rsidRPr="00686E3F">
        <w:rPr>
          <w:rFonts w:eastAsia="Times New Roman"/>
          <w:szCs w:val="28"/>
        </w:rPr>
        <w:t>chính sách tiền lương đi vào thực tế đời sống, phát huy tác động tích cực, góp phần nâng cao đời sống người lao động, tạo đà phát triển trong thời kỳ mới</w:t>
      </w:r>
      <w:r w:rsidRPr="00686E3F">
        <w:rPr>
          <w:rFonts w:eastAsia="Times New Roman"/>
          <w:szCs w:val="28"/>
        </w:rPr>
        <w:t xml:space="preserve"> (hoành thành Quý III/2018)</w:t>
      </w:r>
      <w:r w:rsidR="00607088">
        <w:rPr>
          <w:rFonts w:eastAsia="Times New Roman"/>
          <w:szCs w:val="28"/>
        </w:rPr>
        <w:t>.</w:t>
      </w:r>
    </w:p>
    <w:p w:rsidR="006A25C5" w:rsidRPr="00686E3F" w:rsidRDefault="006A25C5" w:rsidP="006A25C5">
      <w:pPr>
        <w:spacing w:before="120" w:after="0" w:line="240" w:lineRule="auto"/>
        <w:jc w:val="both"/>
        <w:rPr>
          <w:rFonts w:eastAsia="Times New Roman"/>
          <w:b/>
          <w:bCs/>
          <w:szCs w:val="28"/>
        </w:rPr>
      </w:pPr>
      <w:r>
        <w:rPr>
          <w:rFonts w:eastAsia="Times New Roman"/>
          <w:szCs w:val="28"/>
        </w:rPr>
        <w:lastRenderedPageBreak/>
        <w:tab/>
      </w:r>
      <w:r>
        <w:rPr>
          <w:rFonts w:eastAsia="Times New Roman"/>
          <w:b/>
          <w:bCs/>
          <w:szCs w:val="28"/>
        </w:rPr>
        <w:t>2.</w:t>
      </w:r>
      <w:r w:rsidRPr="00686E3F">
        <w:rPr>
          <w:rFonts w:eastAsia="Times New Roman"/>
          <w:b/>
          <w:bCs/>
          <w:szCs w:val="28"/>
        </w:rPr>
        <w:t xml:space="preserve"> Đẩy mạnh sắp xếp bộ máy </w:t>
      </w:r>
    </w:p>
    <w:p w:rsidR="006A25C5" w:rsidRPr="00686E3F" w:rsidRDefault="006A25C5" w:rsidP="006A25C5">
      <w:pPr>
        <w:spacing w:before="120" w:after="0" w:line="240" w:lineRule="auto"/>
        <w:jc w:val="both"/>
        <w:rPr>
          <w:rFonts w:eastAsia="Times New Roman"/>
          <w:szCs w:val="28"/>
        </w:rPr>
      </w:pPr>
      <w:r w:rsidRPr="00686E3F">
        <w:rPr>
          <w:rFonts w:eastAsia="Times New Roman"/>
          <w:szCs w:val="28"/>
        </w:rPr>
        <w:tab/>
      </w:r>
      <w:r>
        <w:rPr>
          <w:rFonts w:eastAsia="Times New Roman"/>
          <w:szCs w:val="28"/>
        </w:rPr>
        <w:t>X</w:t>
      </w:r>
      <w:r w:rsidRPr="00686E3F">
        <w:rPr>
          <w:rFonts w:eastAsia="Times New Roman"/>
          <w:szCs w:val="28"/>
        </w:rPr>
        <w:t>ây dựn</w:t>
      </w:r>
      <w:r w:rsidR="00607088">
        <w:rPr>
          <w:rFonts w:eastAsia="Times New Roman"/>
          <w:szCs w:val="28"/>
        </w:rPr>
        <w:t>g và thực hiện có hiệu quả các đ</w:t>
      </w:r>
      <w:r w:rsidRPr="00686E3F">
        <w:rPr>
          <w:rFonts w:eastAsia="Times New Roman"/>
          <w:szCs w:val="28"/>
        </w:rPr>
        <w:t>ề án theo tinh thần Nghị quyết số 18-NQ/TW ngày 25/10/2017 về một số vấn đề tiếp tục đổi mới, sắp xếp tổ chức bộ máy của hệ thống chính trị tinh gọn, hoạt động hiệu lực, hiệu quả</w:t>
      </w:r>
      <w:r w:rsidR="00607088">
        <w:rPr>
          <w:rFonts w:eastAsia="Times New Roman"/>
          <w:szCs w:val="28"/>
        </w:rPr>
        <w:t xml:space="preserve"> và</w:t>
      </w:r>
      <w:r w:rsidRPr="00686E3F">
        <w:rPr>
          <w:rFonts w:eastAsia="Times New Roman"/>
          <w:szCs w:val="28"/>
        </w:rPr>
        <w:t xml:space="preserve"> Nghị quyết số 19-NQ/TW ngày 25/10/2017 </w:t>
      </w:r>
      <w:r w:rsidR="00607088">
        <w:rPr>
          <w:rFonts w:eastAsia="Times New Roman"/>
          <w:szCs w:val="28"/>
        </w:rPr>
        <w:t xml:space="preserve">của </w:t>
      </w:r>
      <w:r w:rsidRPr="00686E3F">
        <w:rPr>
          <w:rFonts w:eastAsia="Times New Roman"/>
          <w:szCs w:val="28"/>
        </w:rPr>
        <w:t>Ban Chấp hành Trung ương Đảng khóa XII về tiếp tục đổi mới hệ thống tổ chức và quản lý, nâng cao chất lượng, hiệu quả hoạt động của đơn vị sự nghiệp công lập; Chương trình hành động số 920-CTr/TU ngày 31/01/2018 t</w:t>
      </w:r>
      <w:r w:rsidR="00607088">
        <w:rPr>
          <w:rFonts w:eastAsia="Times New Roman"/>
          <w:szCs w:val="28"/>
        </w:rPr>
        <w:t>hực hiện Nghị quyết số 18-NQ/TW và</w:t>
      </w:r>
      <w:r w:rsidRPr="00686E3F">
        <w:rPr>
          <w:rFonts w:eastAsia="Times New Roman"/>
          <w:szCs w:val="28"/>
        </w:rPr>
        <w:t xml:space="preserve"> Chương trình hành động số 1011-Ctr/TU ngày 03/5/2018 thực hiện Nghị quyết số 19-NQ/TW.</w:t>
      </w:r>
    </w:p>
    <w:p w:rsidR="006A25C5" w:rsidRPr="00686E3F" w:rsidRDefault="006A25C5" w:rsidP="00686E3F">
      <w:pPr>
        <w:spacing w:before="120" w:after="0" w:line="240" w:lineRule="auto"/>
        <w:jc w:val="both"/>
        <w:rPr>
          <w:rFonts w:eastAsia="Times New Roman"/>
          <w:szCs w:val="28"/>
        </w:rPr>
      </w:pPr>
      <w:r w:rsidRPr="00686E3F">
        <w:rPr>
          <w:rFonts w:eastAsia="Times New Roman"/>
          <w:szCs w:val="28"/>
        </w:rPr>
        <w:tab/>
        <w:t>Việc sắp xếp tổ chức bộ máy các cơ quan trong hệ thống chính trị cần tinh gọn, đồng bộ, hợp lý, hoạt động có hiệu lực hiệu quả, giảm mạnh đầu mối trung gian, đặc biệt chú trọng đến việc rà soát, sắp xếp khối sự nghiệp công lập.Theo đó, cần đánh giá, rà soát để định hướng đưa ra các đơn vị sự nghiệp công lập tự chủ toàn bộ kinh phí hoạt động, xác định lộ trình chuyển đổi mô hình hoạt động. Thay đổi cơ chế quản lý đối với các đơn vị sự nghiệp công lập, tạo môi trường để các đơn vị sự nghiệp công tự chủ, tự chịu trách nhiệm về tài chính, nhân sự, góp phần nâng cao chất lượng dịch vụ công. Nội dung đổi mới trong thực hiện sắp xếp tổ chức bộ máy trong hệ thống chính trị, đặc biệt là khối sự nghiệp công là yếu tố tiên quyết để tạo nguồn cho việc thực hiện chính sách tiền lương mới.</w:t>
      </w:r>
    </w:p>
    <w:p w:rsidR="00590C30" w:rsidRPr="00686E3F" w:rsidRDefault="006A25C5" w:rsidP="00686E3F">
      <w:pPr>
        <w:spacing w:before="120" w:after="0" w:line="240" w:lineRule="auto"/>
        <w:ind w:firstLine="720"/>
        <w:jc w:val="both"/>
        <w:rPr>
          <w:rFonts w:eastAsia="Times New Roman"/>
          <w:szCs w:val="28"/>
        </w:rPr>
      </w:pPr>
      <w:r>
        <w:rPr>
          <w:rFonts w:eastAsia="Times New Roman"/>
          <w:b/>
          <w:bCs/>
          <w:szCs w:val="28"/>
        </w:rPr>
        <w:t>3</w:t>
      </w:r>
      <w:r w:rsidR="00590C30" w:rsidRPr="00686E3F">
        <w:rPr>
          <w:rFonts w:eastAsia="Times New Roman"/>
          <w:b/>
          <w:bCs/>
          <w:szCs w:val="28"/>
        </w:rPr>
        <w:t>. Khẩn trương xây dựng và hoàn thiện hệ thống vị trí việc làm</w:t>
      </w:r>
      <w:r w:rsidR="00B85C4A">
        <w:rPr>
          <w:rFonts w:eastAsia="Times New Roman"/>
          <w:b/>
          <w:bCs/>
          <w:szCs w:val="28"/>
        </w:rPr>
        <w:t>; đ</w:t>
      </w:r>
      <w:r w:rsidR="001B720F" w:rsidRPr="00686E3F">
        <w:rPr>
          <w:rFonts w:eastAsia="Times New Roman"/>
          <w:b/>
          <w:bCs/>
          <w:szCs w:val="28"/>
        </w:rPr>
        <w:t>ẩy mạnh tinh giản biên chế</w:t>
      </w:r>
    </w:p>
    <w:p w:rsidR="00EE1543" w:rsidRPr="00686E3F" w:rsidRDefault="006B05D9" w:rsidP="00686E3F">
      <w:pPr>
        <w:spacing w:before="120" w:after="0" w:line="240" w:lineRule="auto"/>
        <w:ind w:firstLine="720"/>
        <w:jc w:val="both"/>
        <w:rPr>
          <w:rFonts w:eastAsia="Times New Roman"/>
          <w:szCs w:val="28"/>
        </w:rPr>
      </w:pPr>
      <w:r>
        <w:rPr>
          <w:rFonts w:eastAsia="Times New Roman"/>
          <w:szCs w:val="28"/>
        </w:rPr>
        <w:t xml:space="preserve">- </w:t>
      </w:r>
      <w:r w:rsidR="001B720F" w:rsidRPr="00686E3F">
        <w:rPr>
          <w:rFonts w:eastAsia="Times New Roman"/>
          <w:szCs w:val="28"/>
        </w:rPr>
        <w:t xml:space="preserve">Chính sách tiền lương mới </w:t>
      </w:r>
      <w:r w:rsidR="00B85C4A">
        <w:rPr>
          <w:rFonts w:eastAsia="Times New Roman"/>
          <w:szCs w:val="28"/>
        </w:rPr>
        <w:t>chuyển từ chế độ trả lương theo</w:t>
      </w:r>
      <w:r w:rsidR="00901D0B" w:rsidRPr="00686E3F">
        <w:rPr>
          <w:rFonts w:eastAsia="Times New Roman"/>
          <w:szCs w:val="28"/>
        </w:rPr>
        <w:t xml:space="preserve"> chức nghiệp sang trả lương theo vị trí </w:t>
      </w:r>
      <w:r w:rsidR="00607088">
        <w:rPr>
          <w:rFonts w:eastAsia="Times New Roman"/>
          <w:szCs w:val="28"/>
        </w:rPr>
        <w:t>việc làm. Do đó,</w:t>
      </w:r>
      <w:r w:rsidR="00901D0B" w:rsidRPr="00686E3F">
        <w:rPr>
          <w:rFonts w:eastAsia="Times New Roman"/>
          <w:szCs w:val="28"/>
        </w:rPr>
        <w:t>xây dựng và hoàn thiện danh mục vị trí việc làm, bản mô tả công việc, xác định cơ cấu công chức, viên chức, xác định khung năng lực theo từng vị trí việc làm</w:t>
      </w:r>
      <w:r w:rsidR="001B720F" w:rsidRPr="00686E3F">
        <w:rPr>
          <w:rFonts w:eastAsia="Times New Roman"/>
          <w:szCs w:val="28"/>
        </w:rPr>
        <w:t xml:space="preserve"> được xem là giải pháp căn bản để thực hiện chính sách tiền lương </w:t>
      </w:r>
      <w:r w:rsidR="00901D0B" w:rsidRPr="00686E3F">
        <w:rPr>
          <w:rFonts w:eastAsia="Times New Roman"/>
          <w:szCs w:val="28"/>
        </w:rPr>
        <w:t xml:space="preserve">mới. Để thực hiện nội dung này, các cơ quan đơn vị trên địa bàn toàn tỉnh </w:t>
      </w:r>
      <w:r w:rsidR="006D1FCF" w:rsidRPr="00686E3F">
        <w:rPr>
          <w:rFonts w:eastAsia="Times New Roman"/>
          <w:szCs w:val="28"/>
        </w:rPr>
        <w:t>t</w:t>
      </w:r>
      <w:r w:rsidR="00B93896" w:rsidRPr="00686E3F">
        <w:rPr>
          <w:rFonts w:eastAsia="Times New Roman"/>
          <w:szCs w:val="28"/>
        </w:rPr>
        <w:t xml:space="preserve">rên cơ sở các quy định của Trung ương, Quyết định </w:t>
      </w:r>
      <w:r w:rsidR="006A25C5">
        <w:rPr>
          <w:rFonts w:eastAsia="Times New Roman"/>
          <w:szCs w:val="28"/>
        </w:rPr>
        <w:t>(</w:t>
      </w:r>
      <w:r w:rsidR="006D1FCF" w:rsidRPr="00686E3F">
        <w:rPr>
          <w:rFonts w:eastAsia="Times New Roman"/>
          <w:szCs w:val="28"/>
        </w:rPr>
        <w:t>2043</w:t>
      </w:r>
      <w:r w:rsidR="00B93896" w:rsidRPr="00686E3F">
        <w:rPr>
          <w:rFonts w:eastAsia="Times New Roman"/>
          <w:szCs w:val="28"/>
        </w:rPr>
        <w:t xml:space="preserve">/QĐ-BNV </w:t>
      </w:r>
      <w:r w:rsidR="006D1FCF" w:rsidRPr="00686E3F">
        <w:rPr>
          <w:rFonts w:eastAsia="Times New Roman"/>
          <w:szCs w:val="28"/>
        </w:rPr>
        <w:t>ngày 31/12/2015 của Bộ Nội vụ</w:t>
      </w:r>
      <w:r w:rsidR="006A25C5">
        <w:rPr>
          <w:rFonts w:eastAsia="Times New Roman"/>
          <w:szCs w:val="28"/>
        </w:rPr>
        <w:t>)</w:t>
      </w:r>
      <w:r w:rsidR="00B93896" w:rsidRPr="00686E3F">
        <w:rPr>
          <w:rFonts w:eastAsia="Times New Roman"/>
          <w:szCs w:val="28"/>
        </w:rPr>
        <w:t xml:space="preserve">phê </w:t>
      </w:r>
      <w:r w:rsidR="006D1FCF" w:rsidRPr="00686E3F">
        <w:rPr>
          <w:rFonts w:eastAsia="Times New Roman"/>
          <w:szCs w:val="28"/>
        </w:rPr>
        <w:t>duyệt</w:t>
      </w:r>
      <w:r w:rsidR="00B93896" w:rsidRPr="00686E3F">
        <w:rPr>
          <w:rFonts w:eastAsia="Times New Roman"/>
          <w:szCs w:val="28"/>
        </w:rPr>
        <w:t xml:space="preserve"> danh mục </w:t>
      </w:r>
      <w:r w:rsidR="00974C93">
        <w:rPr>
          <w:rFonts w:eastAsia="Times New Roman"/>
          <w:szCs w:val="28"/>
        </w:rPr>
        <w:t>vị trí</w:t>
      </w:r>
      <w:r w:rsidR="007F5EB5" w:rsidRPr="00686E3F">
        <w:rPr>
          <w:rFonts w:eastAsia="Times New Roman"/>
          <w:szCs w:val="28"/>
        </w:rPr>
        <w:t xml:space="preserve"> việc làm trong các cơ quan</w:t>
      </w:r>
      <w:r w:rsidR="00AD7F71" w:rsidRPr="00686E3F">
        <w:rPr>
          <w:rFonts w:eastAsia="Times New Roman"/>
          <w:szCs w:val="28"/>
        </w:rPr>
        <w:t>, tổ chức</w:t>
      </w:r>
      <w:r w:rsidR="00E52F0C">
        <w:rPr>
          <w:rFonts w:eastAsia="Times New Roman"/>
          <w:szCs w:val="28"/>
        </w:rPr>
        <w:t xml:space="preserve"> do Bộ Nội vụ, Ban Tổ chức Trung ương phê duyệt</w:t>
      </w:r>
      <w:r w:rsidR="007F5EB5" w:rsidRPr="00686E3F">
        <w:rPr>
          <w:rFonts w:eastAsia="Times New Roman"/>
          <w:szCs w:val="28"/>
        </w:rPr>
        <w:t xml:space="preserve">, các cơ quan, đơn vị rà soát để </w:t>
      </w:r>
      <w:r w:rsidR="00AD7F71" w:rsidRPr="00686E3F">
        <w:rPr>
          <w:rFonts w:eastAsia="Times New Roman"/>
          <w:szCs w:val="28"/>
        </w:rPr>
        <w:t>đề</w:t>
      </w:r>
      <w:r w:rsidR="007F5EB5" w:rsidRPr="00686E3F">
        <w:rPr>
          <w:rFonts w:eastAsia="Times New Roman"/>
          <w:szCs w:val="28"/>
        </w:rPr>
        <w:t xml:space="preserve"> xuất sửa đổi, bổ sung theo hướng tinh gọn, các vị trí việc làm mức độ phức tạp và khối lượng ít thì bố trí kiêm nhiệm. Đẩy nhanh tiến độ xây dựng đề án vị trí việc làm tại các đơn vị sự nghiệp công lập</w:t>
      </w:r>
      <w:r w:rsidR="00C3592C" w:rsidRPr="00686E3F">
        <w:rPr>
          <w:rFonts w:eastAsia="Times New Roman"/>
          <w:szCs w:val="28"/>
        </w:rPr>
        <w:t xml:space="preserve">trên cơ sở các </w:t>
      </w:r>
      <w:r w:rsidR="00607088">
        <w:rPr>
          <w:rFonts w:eastAsia="Times New Roman"/>
          <w:szCs w:val="28"/>
        </w:rPr>
        <w:t>văn bản</w:t>
      </w:r>
      <w:r w:rsidR="00C3592C" w:rsidRPr="00686E3F">
        <w:rPr>
          <w:rFonts w:eastAsia="Times New Roman"/>
          <w:szCs w:val="28"/>
        </w:rPr>
        <w:t xml:space="preserve"> tư hướng dẫn đã có hiệu lực thi hành</w:t>
      </w:r>
      <w:r>
        <w:rPr>
          <w:rFonts w:eastAsia="Times New Roman"/>
          <w:szCs w:val="28"/>
        </w:rPr>
        <w:t>.</w:t>
      </w:r>
    </w:p>
    <w:p w:rsidR="00590C30" w:rsidRDefault="006B05D9" w:rsidP="00686E3F">
      <w:pPr>
        <w:spacing w:before="120" w:after="0" w:line="240" w:lineRule="auto"/>
        <w:ind w:firstLine="720"/>
        <w:jc w:val="both"/>
        <w:rPr>
          <w:rFonts w:eastAsia="Times New Roman"/>
          <w:szCs w:val="28"/>
        </w:rPr>
      </w:pPr>
      <w:r>
        <w:rPr>
          <w:rFonts w:eastAsia="Times New Roman"/>
          <w:szCs w:val="28"/>
        </w:rPr>
        <w:t xml:space="preserve">- </w:t>
      </w:r>
      <w:r w:rsidR="00EE1543" w:rsidRPr="00686E3F">
        <w:rPr>
          <w:rFonts w:eastAsia="Times New Roman"/>
          <w:szCs w:val="28"/>
        </w:rPr>
        <w:t>Đẩy mạnh</w:t>
      </w:r>
      <w:r w:rsidR="00590C30" w:rsidRPr="00686E3F">
        <w:rPr>
          <w:rFonts w:eastAsia="Times New Roman"/>
          <w:szCs w:val="28"/>
        </w:rPr>
        <w:t xml:space="preserve"> tinh giản biên chế theo các nghị quyết của Đảng và quy định</w:t>
      </w:r>
      <w:r w:rsidR="00C3592C" w:rsidRPr="00686E3F">
        <w:rPr>
          <w:rFonts w:eastAsia="Times New Roman"/>
          <w:szCs w:val="28"/>
        </w:rPr>
        <w:t xml:space="preserve"> của Nhànước đã được ban hành.</w:t>
      </w:r>
      <w:r w:rsidR="00B80EC0" w:rsidRPr="00686E3F">
        <w:rPr>
          <w:rFonts w:eastAsia="Times New Roman"/>
          <w:szCs w:val="28"/>
        </w:rPr>
        <w:t xml:space="preserve"> Trên cơ sở Nghị quyết số 39</w:t>
      </w:r>
      <w:r w:rsidR="00EA587C" w:rsidRPr="00686E3F">
        <w:rPr>
          <w:rFonts w:eastAsia="Times New Roman"/>
          <w:szCs w:val="28"/>
        </w:rPr>
        <w:t>/NQ-HĐND ngày 15/12/2016 của Hội đồng nhân dân tỉnh về việc thông qua kế hoạch tinh giản biên chế công chức, viên chức cấp tỉnh và cấp huyện giai đoạn 2016-2021</w:t>
      </w:r>
      <w:r w:rsidR="00B80EC0" w:rsidRPr="00686E3F">
        <w:rPr>
          <w:rFonts w:eastAsia="Times New Roman"/>
          <w:szCs w:val="28"/>
        </w:rPr>
        <w:t>, kế hoạch tinh giản biên chế theo giai</w:t>
      </w:r>
      <w:r w:rsidR="00331141" w:rsidRPr="00686E3F">
        <w:rPr>
          <w:rFonts w:eastAsia="Times New Roman"/>
          <w:szCs w:val="28"/>
        </w:rPr>
        <w:t xml:space="preserve"> đoạn và hàng năm</w:t>
      </w:r>
      <w:r w:rsidR="00EA587C" w:rsidRPr="00686E3F">
        <w:rPr>
          <w:rFonts w:eastAsia="Times New Roman"/>
          <w:szCs w:val="28"/>
        </w:rPr>
        <w:t xml:space="preserve"> của các cơ quan, đơn vị;</w:t>
      </w:r>
      <w:r w:rsidR="00331141" w:rsidRPr="00686E3F">
        <w:rPr>
          <w:rFonts w:eastAsia="Times New Roman"/>
          <w:szCs w:val="28"/>
        </w:rPr>
        <w:t xml:space="preserve"> các </w:t>
      </w:r>
      <w:r w:rsidR="00EA587C" w:rsidRPr="00686E3F">
        <w:rPr>
          <w:rFonts w:eastAsia="Times New Roman"/>
          <w:szCs w:val="28"/>
        </w:rPr>
        <w:t xml:space="preserve">cơ quan, </w:t>
      </w:r>
      <w:r w:rsidR="00331141" w:rsidRPr="00686E3F">
        <w:rPr>
          <w:rFonts w:eastAsia="Times New Roman"/>
          <w:szCs w:val="28"/>
        </w:rPr>
        <w:t>đơn vị</w:t>
      </w:r>
      <w:r w:rsidR="00B80EC0" w:rsidRPr="00686E3F">
        <w:rPr>
          <w:rFonts w:eastAsia="Times New Roman"/>
          <w:szCs w:val="28"/>
        </w:rPr>
        <w:t xml:space="preserve"> rà soát và đề ra phương án, biện pháp để thực hiện đúng tỷ lệ tinh giản biên chế được giao, đảm bảo đến năm 2021, số biên chế tinh giản đạt tỷ lệ </w:t>
      </w:r>
      <w:r w:rsidR="004437C8" w:rsidRPr="00686E3F">
        <w:rPr>
          <w:rFonts w:eastAsia="Times New Roman"/>
          <w:szCs w:val="28"/>
        </w:rPr>
        <w:t xml:space="preserve">ít nhất </w:t>
      </w:r>
      <w:r w:rsidR="00B80EC0" w:rsidRPr="00686E3F">
        <w:rPr>
          <w:rFonts w:eastAsia="Times New Roman"/>
          <w:szCs w:val="28"/>
        </w:rPr>
        <w:t xml:space="preserve">10% số </w:t>
      </w:r>
      <w:r w:rsidR="005C08C1" w:rsidRPr="00686E3F">
        <w:rPr>
          <w:rFonts w:eastAsia="Times New Roman"/>
          <w:szCs w:val="28"/>
        </w:rPr>
        <w:t>biên chế được giao thời điểm năm 2015.</w:t>
      </w:r>
      <w:r w:rsidR="00141E00">
        <w:rPr>
          <w:rFonts w:eastAsia="Times New Roman"/>
          <w:szCs w:val="28"/>
        </w:rPr>
        <w:t>Nghiên cứu xây dựng chính sách riêng của tỉnh để khuyến khích việc tinh giản biên chế tại các cơ quan, đơn vị trên địa bàn tỉnh.</w:t>
      </w:r>
    </w:p>
    <w:p w:rsidR="00E52F0C" w:rsidRPr="00686E3F" w:rsidRDefault="00E52F0C" w:rsidP="00686E3F">
      <w:pPr>
        <w:spacing w:before="120" w:after="0" w:line="240" w:lineRule="auto"/>
        <w:ind w:firstLine="720"/>
        <w:jc w:val="both"/>
        <w:rPr>
          <w:rFonts w:eastAsia="Times New Roman"/>
          <w:szCs w:val="28"/>
        </w:rPr>
      </w:pPr>
      <w:r>
        <w:rPr>
          <w:rFonts w:eastAsia="Times New Roman"/>
          <w:szCs w:val="28"/>
        </w:rPr>
        <w:lastRenderedPageBreak/>
        <w:t>- Thực hiện triệt để việc thuê khoán các công v</w:t>
      </w:r>
      <w:r w:rsidR="0015597A">
        <w:rPr>
          <w:rFonts w:eastAsia="Times New Roman"/>
          <w:szCs w:val="28"/>
        </w:rPr>
        <w:t>iệc mang tính phục vụ trong cơ quan nhà nước, đơn vị sự nghiệp công lập thay cho việc bố trí biên chế hưởng lương từ ngân sách nhà nước</w:t>
      </w:r>
    </w:p>
    <w:p w:rsidR="00590C30" w:rsidRPr="00686E3F" w:rsidRDefault="001D3DD7" w:rsidP="00686E3F">
      <w:pPr>
        <w:spacing w:before="120" w:after="0" w:line="240" w:lineRule="auto"/>
        <w:jc w:val="both"/>
        <w:rPr>
          <w:rFonts w:eastAsia="Times New Roman"/>
          <w:szCs w:val="28"/>
        </w:rPr>
      </w:pPr>
      <w:r w:rsidRPr="00686E3F">
        <w:rPr>
          <w:rFonts w:eastAsia="Times New Roman"/>
          <w:b/>
          <w:bCs/>
          <w:szCs w:val="28"/>
        </w:rPr>
        <w:tab/>
      </w:r>
      <w:r w:rsidR="0015597A">
        <w:rPr>
          <w:rFonts w:eastAsia="Times New Roman"/>
          <w:b/>
          <w:bCs/>
          <w:szCs w:val="28"/>
        </w:rPr>
        <w:t>4</w:t>
      </w:r>
      <w:r w:rsidR="00590C30" w:rsidRPr="00686E3F">
        <w:rPr>
          <w:rFonts w:eastAsia="Times New Roman"/>
          <w:b/>
          <w:bCs/>
          <w:szCs w:val="28"/>
        </w:rPr>
        <w:t>. Quyết liệt thực hiện các giải pháp tài chính, ngân sách, coi đây là nhiệm vụ đột phá để tạo nguồn lực cho cải cách chính sách tiền lương</w:t>
      </w:r>
    </w:p>
    <w:p w:rsidR="00590C30" w:rsidRPr="00686E3F" w:rsidRDefault="00A24B06" w:rsidP="00686E3F">
      <w:pPr>
        <w:spacing w:before="120" w:after="0" w:line="240" w:lineRule="auto"/>
        <w:jc w:val="both"/>
        <w:rPr>
          <w:rFonts w:eastAsia="Times New Roman"/>
          <w:szCs w:val="28"/>
        </w:rPr>
      </w:pPr>
      <w:r w:rsidRPr="00686E3F">
        <w:rPr>
          <w:rFonts w:eastAsia="Times New Roman"/>
          <w:szCs w:val="28"/>
        </w:rPr>
        <w:tab/>
      </w:r>
      <w:r w:rsidR="00590C30" w:rsidRPr="00686E3F">
        <w:rPr>
          <w:rFonts w:eastAsia="Times New Roman"/>
          <w:szCs w:val="28"/>
        </w:rPr>
        <w:t>- Thực hiện quyết liệt và có hiệu quả các nghị quyết của Trung ương về cơ cấu lại nền kinh tế gắn với đổi mới mô hình tăng trưởng; về hoàn thiện thể chế kinh tế thị trường định hướng xã hội chủ nghĩa; về phát triển kinh tế tư nhân; về đổi mới, nâng cao hiệu quả hoạt động của doanh nghiệp nhà nước; Nghị quyết của Bộ Chính trị về cơ cấu lại ngân sách nhà nước, quản lý nợ công nhằm phát triển nguồn thu bền vững, tăng cường vai trò chủ đạo của ngân sách Trung ương.</w:t>
      </w:r>
    </w:p>
    <w:p w:rsidR="00590C30" w:rsidRPr="00686E3F" w:rsidRDefault="00A24B06" w:rsidP="00686E3F">
      <w:pPr>
        <w:spacing w:before="120" w:after="0" w:line="240" w:lineRule="auto"/>
        <w:jc w:val="both"/>
        <w:rPr>
          <w:rFonts w:eastAsia="Times New Roman"/>
          <w:szCs w:val="28"/>
        </w:rPr>
      </w:pPr>
      <w:r w:rsidRPr="00686E3F">
        <w:rPr>
          <w:rFonts w:eastAsia="Times New Roman"/>
          <w:szCs w:val="28"/>
        </w:rPr>
        <w:tab/>
      </w:r>
      <w:r w:rsidR="00590C30" w:rsidRPr="00686E3F">
        <w:rPr>
          <w:rFonts w:eastAsia="Times New Roman"/>
          <w:szCs w:val="28"/>
        </w:rPr>
        <w:t>- Triển khai các nhiệm vụ cơ cấu lại thu ngân sách nhà nước theo hướng bảo đảm tổng nguồn thu và cơ cấu thu bền vững. Tăng cường quản lý thu, tạo chuyển biến căn bản trong việc chống thất thu, xử lý và ngăn chặn các hành vi buôn lậu, gian lận thương mại, sản xuất kinh doanh hàng giả, chuyển giá, trốn thuế. Thực hành tiết kiệm, chống tham nhũng, lãng phí trong sử dụng ngân sách nhà nước và đầu tư xây dựng cơ bản. Quyết liệt thu hồi tài sản trong các vụ án tham nhũng, kinh tế.</w:t>
      </w:r>
    </w:p>
    <w:p w:rsidR="00590C30" w:rsidRPr="00686E3F" w:rsidRDefault="00A24B06" w:rsidP="00686E3F">
      <w:pPr>
        <w:spacing w:before="120" w:after="0" w:line="240" w:lineRule="auto"/>
        <w:jc w:val="both"/>
        <w:rPr>
          <w:rFonts w:eastAsia="Times New Roman"/>
          <w:szCs w:val="28"/>
        </w:rPr>
      </w:pPr>
      <w:r w:rsidRPr="00686E3F">
        <w:rPr>
          <w:rFonts w:eastAsia="Times New Roman"/>
          <w:szCs w:val="28"/>
        </w:rPr>
        <w:tab/>
      </w:r>
      <w:r w:rsidR="00590C30" w:rsidRPr="00686E3F">
        <w:rPr>
          <w:rFonts w:eastAsia="Times New Roman"/>
          <w:szCs w:val="28"/>
        </w:rPr>
        <w:t>- Hằng năm, dành khoảng 50% tăng thu dự toán và 70% tăng thu thực</w:t>
      </w:r>
      <w:r w:rsidR="001F0C7E" w:rsidRPr="00686E3F">
        <w:rPr>
          <w:rFonts w:eastAsia="Times New Roman"/>
          <w:szCs w:val="28"/>
        </w:rPr>
        <w:t xml:space="preserve"> hiện của ngân sách địa phương </w:t>
      </w:r>
      <w:r w:rsidR="00590C30" w:rsidRPr="00686E3F">
        <w:rPr>
          <w:rFonts w:eastAsia="Times New Roman"/>
          <w:szCs w:val="28"/>
        </w:rPr>
        <w:t>cho cải cách chính sách tiền lương.</w:t>
      </w:r>
    </w:p>
    <w:p w:rsidR="00590C30" w:rsidRPr="00686E3F" w:rsidRDefault="00590C30" w:rsidP="00686E3F">
      <w:pPr>
        <w:spacing w:before="120" w:after="0" w:line="240" w:lineRule="auto"/>
        <w:ind w:firstLine="720"/>
        <w:jc w:val="both"/>
        <w:rPr>
          <w:rFonts w:eastAsia="Times New Roman"/>
          <w:szCs w:val="28"/>
        </w:rPr>
      </w:pPr>
      <w:r w:rsidRPr="00686E3F">
        <w:rPr>
          <w:rFonts w:eastAsia="Times New Roman"/>
          <w:szCs w:val="28"/>
        </w:rPr>
        <w:t>- Tăng cường quản lý, nâng cao hiệu quả chi ngân sách nhà nước; tiếp tục thực hiện tiết kiệm 10% dự toán chi thường xuyên tăng thêm hằng năm cho đến khi thực hiện khoán quỹ tiền lương trên cơ sở biên chế được cấp có thẩm quyền giao.</w:t>
      </w:r>
    </w:p>
    <w:p w:rsidR="00590C30" w:rsidRPr="00686E3F" w:rsidRDefault="00590C30" w:rsidP="00686E3F">
      <w:pPr>
        <w:spacing w:before="120" w:after="0" w:line="240" w:lineRule="auto"/>
        <w:ind w:firstLine="720"/>
        <w:jc w:val="both"/>
        <w:rPr>
          <w:rFonts w:eastAsia="Times New Roman"/>
          <w:szCs w:val="28"/>
        </w:rPr>
      </w:pPr>
      <w:r w:rsidRPr="00686E3F">
        <w:rPr>
          <w:rFonts w:eastAsia="Times New Roman"/>
          <w:szCs w:val="28"/>
        </w:rPr>
        <w:t>- Nguồn thực hiện cải cách chính sách tiền lương còn dư sau khi bảo đảm điều chỉnh mức lương cơ sở hằng năm và bảo đảm các chính sách an sinh xã hội do Trung ương ban hành (đối với ngân sách địa phương), các dự án đầu tư theo quy định (đối với các địa phương có tỉ lệ điều tiết) theo nghị quyết của Quốc hội phải tiếp tục sử dụng để thực hiện cải cách chính sách tiền lương sau năm 2020, không sử dụng vào mục đích khác khi không được cấp có thẩm quyền cho phép.</w:t>
      </w:r>
    </w:p>
    <w:p w:rsidR="00590C30" w:rsidRPr="00686E3F" w:rsidRDefault="00A24B06" w:rsidP="00686E3F">
      <w:pPr>
        <w:spacing w:before="120" w:after="0" w:line="240" w:lineRule="auto"/>
        <w:jc w:val="both"/>
        <w:rPr>
          <w:rFonts w:eastAsia="Times New Roman"/>
          <w:szCs w:val="28"/>
        </w:rPr>
      </w:pPr>
      <w:r w:rsidRPr="00686E3F">
        <w:rPr>
          <w:rFonts w:eastAsia="Times New Roman"/>
          <w:szCs w:val="28"/>
        </w:rPr>
        <w:tab/>
      </w:r>
      <w:r w:rsidR="00590C30" w:rsidRPr="00686E3F">
        <w:rPr>
          <w:rFonts w:eastAsia="Times New Roman"/>
          <w:szCs w:val="28"/>
        </w:rPr>
        <w:t xml:space="preserve">- Bãi bỏ các khoản chi ngoài lương của cán bộ, công chức, viên chức có nguồn gốc từ ngân sách nhà nước như: Tiền bồi dưỡng họp; tiền bồi dưỡng xây dựng văn bản quy phạm pháp luật, đề án; </w:t>
      </w:r>
      <w:r w:rsidR="003E6EC4">
        <w:rPr>
          <w:rFonts w:eastAsia="Times New Roman"/>
          <w:szCs w:val="28"/>
        </w:rPr>
        <w:t xml:space="preserve">chế độ đặc thù, </w:t>
      </w:r>
      <w:r w:rsidR="00590C30" w:rsidRPr="00686E3F">
        <w:rPr>
          <w:rFonts w:eastAsia="Times New Roman"/>
          <w:szCs w:val="28"/>
        </w:rPr>
        <w:t>hội thảo... Thực hiện khoán quỹ lương gắn với mục tiêu tinh giản biên chế cho các cơ quan, đơn vị. Mở rộng cơ chế khoán kinh phí gắn với kết quả thực hiện nhiệm vụ. Không gắn mức lương của cán bộ, công chức, viên chức với việc xây dựng, sửa đổi, bổ sung các văn bản quy định chính sách, chế độ không có tính chất lương. Nghiên cứu quy định khoán các chế độ ngoài lương (xe ô tô, điện thoại...). Chỉ ban hành các chính sách, chế độ mới khi đã bố trí, cân đối được nguồn lực thực hiện.</w:t>
      </w:r>
    </w:p>
    <w:p w:rsidR="00590C30" w:rsidRPr="00686E3F" w:rsidRDefault="00316B91" w:rsidP="00686E3F">
      <w:pPr>
        <w:spacing w:before="120" w:after="0" w:line="240" w:lineRule="auto"/>
        <w:jc w:val="both"/>
        <w:rPr>
          <w:rFonts w:eastAsia="Times New Roman"/>
          <w:szCs w:val="28"/>
        </w:rPr>
      </w:pPr>
      <w:r w:rsidRPr="00686E3F">
        <w:rPr>
          <w:rFonts w:eastAsia="Times New Roman"/>
          <w:szCs w:val="28"/>
        </w:rPr>
        <w:tab/>
      </w:r>
      <w:r w:rsidR="00A64A74" w:rsidRPr="00686E3F">
        <w:rPr>
          <w:rFonts w:eastAsia="Times New Roman"/>
          <w:szCs w:val="28"/>
        </w:rPr>
        <w:t>- Thực hiện chu</w:t>
      </w:r>
      <w:r w:rsidR="00590C30" w:rsidRPr="00686E3F">
        <w:rPr>
          <w:rFonts w:eastAsia="Times New Roman"/>
          <w:szCs w:val="28"/>
        </w:rPr>
        <w:t>yển đổi từ phí sang thực hiện giá dịch vụ sự nghiệp công</w:t>
      </w:r>
      <w:r w:rsidR="00A64A74" w:rsidRPr="00686E3F">
        <w:rPr>
          <w:rFonts w:eastAsia="Times New Roman"/>
          <w:szCs w:val="28"/>
        </w:rPr>
        <w:t xml:space="preserve"> khi được Trung ương hướng dẫn</w:t>
      </w:r>
      <w:r w:rsidR="00590C30" w:rsidRPr="00686E3F">
        <w:rPr>
          <w:rFonts w:eastAsia="Times New Roman"/>
          <w:szCs w:val="28"/>
        </w:rPr>
        <w:t xml:space="preserve">, từng bước tính đúng, tính đủ các chi phí đối với các loại dịch vụ cơ bản, thiết yếu, đồng thời gắn với chính sách hỗ trợ phù hợp cho người nghèo, đối tượng chính sách. </w:t>
      </w:r>
      <w:r w:rsidR="003E6EC4">
        <w:rPr>
          <w:rFonts w:eastAsia="Times New Roman"/>
          <w:szCs w:val="28"/>
        </w:rPr>
        <w:t xml:space="preserve">Thay đổi phương thức cấp phát kinh phí cho đơn vị sự nghiệp công lập theo định mức đơn giá dịch vụ. </w:t>
      </w:r>
      <w:r w:rsidR="00590C30" w:rsidRPr="00686E3F">
        <w:rPr>
          <w:rFonts w:eastAsia="Times New Roman"/>
          <w:szCs w:val="28"/>
        </w:rPr>
        <w:t xml:space="preserve">Đối với giá dịch vụ sự nghiệp công </w:t>
      </w:r>
      <w:r w:rsidR="00590C30" w:rsidRPr="00686E3F">
        <w:rPr>
          <w:rFonts w:eastAsia="Times New Roman"/>
          <w:szCs w:val="28"/>
        </w:rPr>
        <w:lastRenderedPageBreak/>
        <w:t>không sử dụng ngân sách nhà nước, giao quyền tự chủ cho các đơn vị cung ứng dịch vụ tự quyết định theo nguyên tắc bảo đảm bù đắp chi phí và có tích luỹ.</w:t>
      </w:r>
    </w:p>
    <w:p w:rsidR="00590C30" w:rsidRPr="00686E3F" w:rsidRDefault="00B65EEF" w:rsidP="00686E3F">
      <w:pPr>
        <w:spacing w:before="120" w:after="0" w:line="240" w:lineRule="auto"/>
        <w:jc w:val="both"/>
        <w:rPr>
          <w:rFonts w:eastAsia="Times New Roman"/>
          <w:szCs w:val="28"/>
        </w:rPr>
      </w:pPr>
      <w:r w:rsidRPr="00686E3F">
        <w:rPr>
          <w:rFonts w:eastAsia="Times New Roman"/>
          <w:szCs w:val="28"/>
        </w:rPr>
        <w:tab/>
      </w:r>
      <w:r w:rsidR="00590C30" w:rsidRPr="00686E3F">
        <w:rPr>
          <w:rFonts w:eastAsia="Times New Roman"/>
          <w:szCs w:val="28"/>
        </w:rPr>
        <w:t>Đơn vị sự nghiệp công lập đã tự chủ tài chính phải tự bảo đảm nguồn để thực hiện cải cách chính sách tiền lương. Đối với đơn vị sự nghiệp công lập bảo đảm một phần chi thường xuyên, tiếp tục sử dụng tối thiểu 40% số thu được để lại theo chế độ (riêng ngành Y tế sử dụng tối thiểu 35% sau khi trừ các chi phí đã kết cấu vào giá dịch vụ), tiết kiệm 10% chi thường xuyên nguồn ngân sách tăng thêm hằng năm và sắp xếp từ nguồn dự toán ngân sách nhà nước được giao để bảo đảm nguồn thực hiện cải cách chính sách tiền lương.</w:t>
      </w:r>
    </w:p>
    <w:p w:rsidR="00F92705" w:rsidRPr="00686E3F" w:rsidRDefault="00590C30" w:rsidP="00F92705">
      <w:pPr>
        <w:spacing w:before="120" w:after="0" w:line="240" w:lineRule="auto"/>
        <w:ind w:firstLine="720"/>
        <w:jc w:val="both"/>
        <w:rPr>
          <w:rFonts w:eastAsia="Times New Roman"/>
          <w:szCs w:val="28"/>
        </w:rPr>
      </w:pPr>
      <w:r w:rsidRPr="00686E3F">
        <w:rPr>
          <w:rFonts w:eastAsia="Times New Roman"/>
          <w:szCs w:val="28"/>
        </w:rPr>
        <w:t>Đơn vị sự nghiệp công lập không có nguồn thu do ngân sách nhà nước bảo đảm toàn bộ chi thường xuyên, thực hiện tiết kiệm 10% chi thường xuyên nguồn ngân sách tăng thêm hằng năm và sắp xếp từ nguồn dự toán ngân sách nhà nước được giao để thực hiện cải cách chính sách tiền lương.</w:t>
      </w:r>
    </w:p>
    <w:p w:rsidR="00590C30" w:rsidRPr="00686E3F" w:rsidRDefault="00684B91" w:rsidP="00686E3F">
      <w:pPr>
        <w:spacing w:before="120" w:after="0" w:line="240" w:lineRule="auto"/>
        <w:jc w:val="both"/>
        <w:rPr>
          <w:rFonts w:eastAsia="Times New Roman"/>
          <w:b/>
          <w:bCs/>
          <w:szCs w:val="28"/>
        </w:rPr>
      </w:pPr>
      <w:r w:rsidRPr="00686E3F">
        <w:rPr>
          <w:rFonts w:eastAsia="Times New Roman"/>
          <w:b/>
          <w:bCs/>
          <w:szCs w:val="28"/>
        </w:rPr>
        <w:tab/>
      </w:r>
      <w:r w:rsidR="003E6EC4">
        <w:rPr>
          <w:rFonts w:eastAsia="Times New Roman"/>
          <w:b/>
          <w:bCs/>
          <w:szCs w:val="28"/>
        </w:rPr>
        <w:t>5</w:t>
      </w:r>
      <w:r w:rsidR="00590C30" w:rsidRPr="00686E3F">
        <w:rPr>
          <w:rFonts w:eastAsia="Times New Roman"/>
          <w:b/>
          <w:bCs/>
          <w:szCs w:val="28"/>
        </w:rPr>
        <w:t xml:space="preserve">. </w:t>
      </w:r>
      <w:r w:rsidR="00C412F0" w:rsidRPr="00686E3F">
        <w:rPr>
          <w:rFonts w:eastAsia="Times New Roman"/>
          <w:b/>
          <w:bCs/>
          <w:szCs w:val="28"/>
        </w:rPr>
        <w:t>Đẩy mạnh cải cách hành chính</w:t>
      </w:r>
    </w:p>
    <w:p w:rsidR="00F92705" w:rsidRPr="00F92705" w:rsidRDefault="005D65DC" w:rsidP="00F92705">
      <w:pPr>
        <w:spacing w:before="120" w:after="0" w:line="240" w:lineRule="auto"/>
        <w:ind w:firstLine="562"/>
        <w:jc w:val="both"/>
        <w:rPr>
          <w:szCs w:val="28"/>
        </w:rPr>
      </w:pPr>
      <w:r w:rsidRPr="00686E3F">
        <w:rPr>
          <w:rFonts w:eastAsia="Times New Roman"/>
          <w:b/>
          <w:bCs/>
          <w:szCs w:val="28"/>
        </w:rPr>
        <w:tab/>
      </w:r>
      <w:r w:rsidR="00F92705" w:rsidRPr="00F92705">
        <w:rPr>
          <w:szCs w:val="28"/>
        </w:rPr>
        <w:t>Tập trung lãnh đạo đồng bộ, toàn diện, có hiệu quả trên cả 06 lĩnh vực của cả</w:t>
      </w:r>
      <w:r w:rsidR="00607088">
        <w:rPr>
          <w:szCs w:val="28"/>
        </w:rPr>
        <w:t>i cách hành chính: C</w:t>
      </w:r>
      <w:r w:rsidR="00F92705" w:rsidRPr="00F92705">
        <w:rPr>
          <w:szCs w:val="28"/>
        </w:rPr>
        <w:t xml:space="preserve">ải cách thể chế, cải cách thủ tục hành chính gắn với thực hiện cơ chế một cửa, một cửa liên thông, cải cách tổ chức bộ máy, nâng cao chất lượng đội ngũ CBCCV, cải cách tài chính công và hiện đại hóa nền hành chính theo tinh thần các nghị quyết của </w:t>
      </w:r>
      <w:r w:rsidR="00607088">
        <w:rPr>
          <w:szCs w:val="28"/>
        </w:rPr>
        <w:t>H</w:t>
      </w:r>
      <w:r w:rsidR="00F92705" w:rsidRPr="00F92705">
        <w:rPr>
          <w:szCs w:val="28"/>
        </w:rPr>
        <w:t>ội nghị lần thứ 6, lần thứ 7 Ban Chấp hành Trung ương khóa XII và Nghị quyết Đại hội Đảng bộ tỉnh Hà Tĩnh lần thứ XVIII, nhiệm kỳ 2015 - 2020. Chú trọng đổi mới công tác chỉ đạo, điều hành, tăng cường thanh tra công vụ, kiểm tra, giám sát cải cách hành chính để nâng cao hiệu lực, hiệu quả quản lý nhà nước, xây dựng chính quyền thực sự phục vụ nhân dân, góp phần thúc đẩy mạnh mẽ sự phát triển kinh tế - xã hội của tỉnh.</w:t>
      </w:r>
    </w:p>
    <w:p w:rsidR="00590C30" w:rsidRPr="00686E3F" w:rsidRDefault="00C412F0" w:rsidP="006A25C5">
      <w:pPr>
        <w:spacing w:before="120" w:after="0" w:line="240" w:lineRule="auto"/>
        <w:jc w:val="both"/>
        <w:rPr>
          <w:rFonts w:eastAsia="Times New Roman"/>
          <w:szCs w:val="28"/>
        </w:rPr>
      </w:pPr>
      <w:r w:rsidRPr="00686E3F">
        <w:rPr>
          <w:rFonts w:eastAsia="Times New Roman"/>
          <w:b/>
          <w:bCs/>
          <w:szCs w:val="28"/>
        </w:rPr>
        <w:tab/>
      </w:r>
      <w:r w:rsidR="00A55C02">
        <w:rPr>
          <w:rFonts w:eastAsia="Times New Roman"/>
          <w:b/>
          <w:bCs/>
          <w:szCs w:val="28"/>
        </w:rPr>
        <w:t>6</w:t>
      </w:r>
      <w:r w:rsidR="00590C30" w:rsidRPr="00686E3F">
        <w:rPr>
          <w:rFonts w:eastAsia="Times New Roman"/>
          <w:b/>
          <w:bCs/>
          <w:szCs w:val="28"/>
        </w:rPr>
        <w:t>. Nâng cao hiệu lực, hiệu quả quản lý nhà nước</w:t>
      </w:r>
    </w:p>
    <w:p w:rsidR="00D52570" w:rsidRPr="00686E3F" w:rsidRDefault="00217985" w:rsidP="00686E3F">
      <w:pPr>
        <w:spacing w:before="120" w:after="0" w:line="240" w:lineRule="auto"/>
        <w:ind w:firstLine="720"/>
        <w:jc w:val="both"/>
        <w:rPr>
          <w:rFonts w:eastAsia="Times New Roman"/>
          <w:szCs w:val="28"/>
        </w:rPr>
      </w:pPr>
      <w:r w:rsidRPr="00686E3F">
        <w:rPr>
          <w:rFonts w:eastAsia="Times New Roman"/>
          <w:szCs w:val="28"/>
        </w:rPr>
        <w:t>- Đ</w:t>
      </w:r>
      <w:r w:rsidR="00590C30" w:rsidRPr="00686E3F">
        <w:rPr>
          <w:rFonts w:eastAsia="Times New Roman"/>
          <w:szCs w:val="28"/>
        </w:rPr>
        <w:t xml:space="preserve">ẩy mạnh phân cấp, giao quyền tự chủ cho các cơ quan, tổ chức, đơn vị trong việc tuyển dụng, sử dụng, đánh giá, bổ nhiệm, kỷ luật, trả lương và quản lý đối với cán bộ, công chức, viên chức và người lao động trong doanh nghiệp để nâng cao năng suất, chất lượng và hiệu quả của cơ quan, tổ chức, đơn vị, doanh nghiệp. </w:t>
      </w:r>
    </w:p>
    <w:p w:rsidR="00556665" w:rsidRDefault="00217985" w:rsidP="00686E3F">
      <w:pPr>
        <w:spacing w:before="120" w:after="0" w:line="240" w:lineRule="auto"/>
        <w:jc w:val="both"/>
        <w:rPr>
          <w:rFonts w:eastAsia="Times New Roman"/>
          <w:szCs w:val="28"/>
        </w:rPr>
      </w:pPr>
      <w:r w:rsidRPr="00686E3F">
        <w:rPr>
          <w:rFonts w:eastAsia="Times New Roman"/>
          <w:szCs w:val="28"/>
        </w:rPr>
        <w:tab/>
      </w:r>
      <w:r w:rsidR="00590C30" w:rsidRPr="00686E3F">
        <w:rPr>
          <w:rFonts w:eastAsia="Times New Roman"/>
          <w:szCs w:val="28"/>
        </w:rPr>
        <w:t xml:space="preserve">- Hoàn thiện cơ chế thoả thuận về tiền lương trong doanh nghiệp thông qua việc thiết lập cơ chế đối thoại, thương lượng và thoả thuận giữa các chủ thể trong quan hệ lao động theo hướng công khai, minh bạch, dân chủ, bảo đảm hài hoà lợi ích của người lao động và người sử dụng lao động, tạo sự đồng thuận cao. Phát triển tổ chức và nâng cao chất lượng hoạt động của tổ chức công đoàn cơ sở, quản lý tốt việc thành lập và hoạt động của tổ chức đại diện người lao động. </w:t>
      </w:r>
    </w:p>
    <w:p w:rsidR="00590C30" w:rsidRPr="00686E3F" w:rsidRDefault="00217985" w:rsidP="00686E3F">
      <w:pPr>
        <w:spacing w:before="120" w:after="0" w:line="240" w:lineRule="auto"/>
        <w:jc w:val="both"/>
        <w:rPr>
          <w:rFonts w:eastAsia="Times New Roman"/>
          <w:szCs w:val="28"/>
        </w:rPr>
      </w:pPr>
      <w:r w:rsidRPr="00686E3F">
        <w:rPr>
          <w:rFonts w:eastAsia="Times New Roman"/>
          <w:szCs w:val="28"/>
        </w:rPr>
        <w:tab/>
      </w:r>
      <w:r w:rsidR="00590C30" w:rsidRPr="00686E3F">
        <w:rPr>
          <w:rFonts w:eastAsia="Times New Roman"/>
          <w:szCs w:val="28"/>
        </w:rPr>
        <w:t>- Làm tốt công tác phối hợp giữa cơ quan quản lý nhà nước chuyên ngành với cơ quan quản lý nhà nước về đầu tư, tài chính các cấp trong quản lý, nâng cao hiệu quả sử dụng ngân sách nhà nước, tránh chồng chéo, lãng phí. Quy định rõ quyền hạn gắn với t</w:t>
      </w:r>
      <w:r w:rsidR="00424701">
        <w:rPr>
          <w:rFonts w:eastAsia="Times New Roman"/>
          <w:szCs w:val="28"/>
        </w:rPr>
        <w:t>rách nhiệm người đứng đầu các sở</w:t>
      </w:r>
      <w:r w:rsidR="00590C30" w:rsidRPr="00686E3F">
        <w:rPr>
          <w:rFonts w:eastAsia="Times New Roman"/>
          <w:szCs w:val="28"/>
        </w:rPr>
        <w:t>, ngành, địa phương, cơ quan, tổ chức, đơn vị. Tăng cường công khai, minh bạch và trách nhiệm giải trình của các cơ quan, tổ chức, đơn vị của Đảng, Nhà nước và tổ chức chính trị - xã hội.</w:t>
      </w:r>
    </w:p>
    <w:p w:rsidR="00590C30" w:rsidRPr="00686E3F" w:rsidRDefault="00217985" w:rsidP="00686E3F">
      <w:pPr>
        <w:spacing w:before="120" w:after="0" w:line="240" w:lineRule="auto"/>
        <w:jc w:val="both"/>
        <w:rPr>
          <w:rFonts w:eastAsia="Times New Roman"/>
          <w:szCs w:val="28"/>
        </w:rPr>
      </w:pPr>
      <w:r w:rsidRPr="00686E3F">
        <w:rPr>
          <w:rFonts w:eastAsia="Times New Roman"/>
          <w:szCs w:val="28"/>
        </w:rPr>
        <w:lastRenderedPageBreak/>
        <w:tab/>
      </w:r>
      <w:r w:rsidR="00590C30" w:rsidRPr="00686E3F">
        <w:rPr>
          <w:rFonts w:eastAsia="Times New Roman"/>
          <w:szCs w:val="28"/>
        </w:rPr>
        <w:t>- Đẩy mạnh công tác thanh tra, kiểm tra, giám sát thực hiện chính sách tiền lương theo quy định của pháp luật trong doanh nghiệp, cơ quan, tổ chức, đơn vị của Đảng, Nhà nước và tổ chức chính trị - xã hội. Kiên quyết xử lý nghiêm các trường hợp cố tình né tránh, thực hiện không nghiêm túc hoặc không thực hiện nhiệm vụ được giao trong thực hiện cải cách chính sách tiền lương gắn với cải cách hành chính, sắp xếp tổ chức bộ máy, tinh giản biên chế, tự chủ đối với đơn vị sự nghiệp công lập và vi phạm quy định của pháp luật về tiền lương. Nghiên cứu xây dựng cơ chế báo cáo định kỳ, công khai, minh bạch thông tin, số liệu về tổ chức bộ máy nhà nước, đơn vị sự nghiệp công lập, các khoản chi tiền lương trong khu vực công.</w:t>
      </w:r>
    </w:p>
    <w:p w:rsidR="00590C30" w:rsidRPr="00686E3F" w:rsidRDefault="00217985" w:rsidP="00686E3F">
      <w:pPr>
        <w:spacing w:before="120" w:after="0" w:line="240" w:lineRule="auto"/>
        <w:jc w:val="both"/>
        <w:rPr>
          <w:rFonts w:eastAsia="Times New Roman"/>
          <w:szCs w:val="28"/>
        </w:rPr>
      </w:pPr>
      <w:r w:rsidRPr="00686E3F">
        <w:rPr>
          <w:rFonts w:eastAsia="Times New Roman"/>
          <w:b/>
          <w:bCs/>
          <w:szCs w:val="28"/>
        </w:rPr>
        <w:tab/>
      </w:r>
      <w:r w:rsidR="00A55C02">
        <w:rPr>
          <w:rFonts w:eastAsia="Times New Roman"/>
          <w:b/>
          <w:bCs/>
          <w:szCs w:val="28"/>
        </w:rPr>
        <w:t>7</w:t>
      </w:r>
      <w:r w:rsidR="00590C30" w:rsidRPr="00686E3F">
        <w:rPr>
          <w:rFonts w:eastAsia="Times New Roman"/>
          <w:b/>
          <w:bCs/>
          <w:szCs w:val="28"/>
        </w:rPr>
        <w:t>. Tăng cường sự lãnh đạo của Đảng; phát huy vai trò của nhân dân, Mặt trận Tổ quốc và các tổ chức chính trị - xã hội</w:t>
      </w:r>
    </w:p>
    <w:p w:rsidR="00590C30" w:rsidRPr="00686E3F" w:rsidRDefault="00590C30" w:rsidP="00686E3F">
      <w:pPr>
        <w:spacing w:before="120" w:after="0" w:line="240" w:lineRule="auto"/>
        <w:ind w:firstLine="810"/>
        <w:jc w:val="both"/>
        <w:rPr>
          <w:rFonts w:eastAsia="Times New Roman"/>
          <w:szCs w:val="28"/>
        </w:rPr>
      </w:pPr>
      <w:r w:rsidRPr="00686E3F">
        <w:rPr>
          <w:rFonts w:eastAsia="Times New Roman"/>
          <w:szCs w:val="28"/>
        </w:rPr>
        <w:t xml:space="preserve">- </w:t>
      </w:r>
      <w:r w:rsidR="00CA1730" w:rsidRPr="00686E3F">
        <w:rPr>
          <w:rFonts w:eastAsia="Times New Roman"/>
          <w:szCs w:val="28"/>
        </w:rPr>
        <w:t>C</w:t>
      </w:r>
      <w:r w:rsidRPr="00686E3F">
        <w:rPr>
          <w:rFonts w:eastAsia="Times New Roman"/>
          <w:szCs w:val="28"/>
        </w:rPr>
        <w:t>ác cơ quan của Đảng, Nhà nước, Mặt trận Tổ quốc và các tổ chức chính trị - xã hội lãnh đạo triển khai thực hiện đồng bộ các giải pháp thuộc chức năng, nhiệm vụ của cơ quan, đơn vị mình bảo đảm thực hiện cải cách chính sách tiền lương đạt kết quả, mang lại hiệu ứng tích cực cho nền kinh tế.</w:t>
      </w:r>
    </w:p>
    <w:p w:rsidR="00590C30" w:rsidRPr="00686E3F" w:rsidRDefault="00590C30" w:rsidP="00686E3F">
      <w:pPr>
        <w:spacing w:before="120" w:after="0" w:line="240" w:lineRule="auto"/>
        <w:ind w:firstLine="810"/>
        <w:jc w:val="both"/>
        <w:rPr>
          <w:rFonts w:eastAsia="Times New Roman"/>
          <w:szCs w:val="28"/>
        </w:rPr>
      </w:pPr>
      <w:r w:rsidRPr="00686E3F">
        <w:rPr>
          <w:rFonts w:eastAsia="Times New Roman"/>
          <w:szCs w:val="28"/>
        </w:rPr>
        <w:t>- Phá</w:t>
      </w:r>
      <w:r w:rsidR="000B7E7A">
        <w:rPr>
          <w:rFonts w:eastAsia="Times New Roman"/>
          <w:szCs w:val="28"/>
        </w:rPr>
        <w:t>t huy vai trò của các tầng lớp N</w:t>
      </w:r>
      <w:r w:rsidRPr="00686E3F">
        <w:rPr>
          <w:rFonts w:eastAsia="Times New Roman"/>
          <w:szCs w:val="28"/>
        </w:rPr>
        <w:t>hân dân, Mặt trận Tổ quốc và các tổ chức chính trị - xã hội trong giám sát, phản biện việc thực hiện cải cách chính sách tiền lương đồng bộ với sắp xếp tổ chức bộ máy, tinh giản biên chế, đổi mới hệ thống tổ chức và quản lý đối với các đơn vị sự nghiệp công lập.</w:t>
      </w:r>
    </w:p>
    <w:p w:rsidR="00590C30" w:rsidRPr="00686E3F" w:rsidRDefault="00590C30" w:rsidP="00686E3F">
      <w:pPr>
        <w:spacing w:before="120" w:after="0" w:line="240" w:lineRule="auto"/>
        <w:ind w:firstLine="810"/>
        <w:jc w:val="both"/>
        <w:rPr>
          <w:rFonts w:eastAsia="Times New Roman"/>
          <w:szCs w:val="28"/>
        </w:rPr>
      </w:pPr>
      <w:r w:rsidRPr="00686E3F">
        <w:rPr>
          <w:rFonts w:eastAsia="Times New Roman"/>
          <w:szCs w:val="28"/>
        </w:rPr>
        <w:t>- Nâng cao vai trò và năng lực của tổ chức công đoàn là tổ chức đại diện của người lao động trong quan hệ lao động phù hợp với nền kinh tế thị trường định hướng xã hội chủ nghĩa và hội nhập quốc tế.</w:t>
      </w:r>
    </w:p>
    <w:p w:rsidR="005C08C1" w:rsidRPr="00686E3F" w:rsidRDefault="005C08C1" w:rsidP="00686E3F">
      <w:pPr>
        <w:spacing w:before="120" w:after="0" w:line="240" w:lineRule="auto"/>
        <w:jc w:val="both"/>
        <w:rPr>
          <w:rFonts w:eastAsia="Times New Roman"/>
          <w:szCs w:val="28"/>
        </w:rPr>
      </w:pPr>
      <w:r w:rsidRPr="00686E3F">
        <w:rPr>
          <w:rFonts w:eastAsia="Times New Roman"/>
          <w:b/>
          <w:bCs/>
          <w:szCs w:val="28"/>
        </w:rPr>
        <w:tab/>
      </w:r>
      <w:r w:rsidR="00A55C02">
        <w:rPr>
          <w:rFonts w:eastAsia="Times New Roman"/>
          <w:b/>
          <w:bCs/>
          <w:szCs w:val="28"/>
        </w:rPr>
        <w:t>8</w:t>
      </w:r>
      <w:r w:rsidRPr="00686E3F">
        <w:rPr>
          <w:rFonts w:eastAsia="Times New Roman"/>
          <w:b/>
          <w:bCs/>
          <w:szCs w:val="28"/>
        </w:rPr>
        <w:t>. Áp dụng chế độ tiền lương mới khi được Bộ Chính trị</w:t>
      </w:r>
      <w:r w:rsidR="00331141" w:rsidRPr="00686E3F">
        <w:rPr>
          <w:rFonts w:eastAsia="Times New Roman"/>
          <w:b/>
          <w:bCs/>
          <w:szCs w:val="28"/>
        </w:rPr>
        <w:t xml:space="preserve"> thông qua</w:t>
      </w:r>
      <w:r w:rsidRPr="00686E3F">
        <w:rPr>
          <w:rFonts w:eastAsia="Times New Roman"/>
          <w:b/>
          <w:bCs/>
          <w:szCs w:val="28"/>
        </w:rPr>
        <w:t>, Chính phủ ban hành</w:t>
      </w:r>
    </w:p>
    <w:p w:rsidR="005C08C1" w:rsidRPr="00686E3F" w:rsidRDefault="00224B91" w:rsidP="00686E3F">
      <w:pPr>
        <w:spacing w:before="120" w:after="0" w:line="240" w:lineRule="auto"/>
        <w:ind w:firstLine="720"/>
        <w:jc w:val="both"/>
        <w:rPr>
          <w:rFonts w:eastAsia="Times New Roman"/>
          <w:szCs w:val="28"/>
        </w:rPr>
      </w:pPr>
      <w:r w:rsidRPr="00686E3F">
        <w:rPr>
          <w:rFonts w:eastAsia="Times New Roman"/>
          <w:szCs w:val="28"/>
        </w:rPr>
        <w:t>T</w:t>
      </w:r>
      <w:r w:rsidR="005C08C1" w:rsidRPr="00686E3F">
        <w:rPr>
          <w:rFonts w:eastAsia="Times New Roman"/>
          <w:szCs w:val="28"/>
        </w:rPr>
        <w:t>hực hiện chuyển xếp lương cũ sang lương mới sau khi các Luật, Nghị định, thông tư về chính sách lươ</w:t>
      </w:r>
      <w:r w:rsidRPr="00686E3F">
        <w:rPr>
          <w:rFonts w:eastAsia="Times New Roman"/>
          <w:szCs w:val="28"/>
        </w:rPr>
        <w:t>ng mới được ban hành</w:t>
      </w:r>
      <w:r w:rsidR="00331141" w:rsidRPr="00686E3F">
        <w:rPr>
          <w:rFonts w:eastAsia="Times New Roman"/>
          <w:szCs w:val="28"/>
        </w:rPr>
        <w:t xml:space="preserve">, có hiệu lực. </w:t>
      </w:r>
    </w:p>
    <w:p w:rsidR="00DF2FF0" w:rsidRPr="000B7E7A" w:rsidRDefault="00463B45" w:rsidP="00686E3F">
      <w:pPr>
        <w:spacing w:before="120" w:after="0" w:line="240" w:lineRule="auto"/>
        <w:ind w:firstLine="720"/>
        <w:jc w:val="both"/>
        <w:rPr>
          <w:b/>
          <w:sz w:val="26"/>
          <w:szCs w:val="26"/>
        </w:rPr>
      </w:pPr>
      <w:r w:rsidRPr="000B7E7A">
        <w:rPr>
          <w:b/>
          <w:sz w:val="26"/>
          <w:szCs w:val="26"/>
        </w:rPr>
        <w:t>III</w:t>
      </w:r>
      <w:r w:rsidR="00DF2FF0" w:rsidRPr="000B7E7A">
        <w:rPr>
          <w:b/>
          <w:sz w:val="26"/>
          <w:szCs w:val="26"/>
        </w:rPr>
        <w:t>. TỔ CHỨC THỰC HIỆN</w:t>
      </w:r>
    </w:p>
    <w:p w:rsidR="00DF2FF0" w:rsidRPr="00686E3F" w:rsidRDefault="00DF2FF0" w:rsidP="00686E3F">
      <w:pPr>
        <w:spacing w:before="120" w:after="0" w:line="240" w:lineRule="auto"/>
        <w:ind w:firstLine="720"/>
        <w:jc w:val="both"/>
        <w:rPr>
          <w:color w:val="000000"/>
          <w:szCs w:val="28"/>
        </w:rPr>
      </w:pPr>
      <w:r w:rsidRPr="00686E3F">
        <w:rPr>
          <w:color w:val="000000"/>
          <w:szCs w:val="28"/>
        </w:rPr>
        <w:t>1. Ban Thường vụ Tỉnh ủy lãnh đạo, chỉ đạo hệ thống chính trị từ tỉnh đến cơ sở thực hiện Nghị quyết số</w:t>
      </w:r>
      <w:r w:rsidR="00852ACB">
        <w:rPr>
          <w:color w:val="000000"/>
          <w:szCs w:val="28"/>
        </w:rPr>
        <w:t xml:space="preserve"> 27</w:t>
      </w:r>
      <w:r w:rsidRPr="00686E3F">
        <w:rPr>
          <w:color w:val="000000"/>
          <w:szCs w:val="28"/>
        </w:rPr>
        <w:t xml:space="preserve">-NQ/TW Khóa XII và Chương trình hành động của </w:t>
      </w:r>
      <w:r w:rsidR="000B7E7A">
        <w:rPr>
          <w:color w:val="000000"/>
          <w:szCs w:val="28"/>
        </w:rPr>
        <w:t>BCH Đảng bộ tỉnh.</w:t>
      </w:r>
    </w:p>
    <w:p w:rsidR="00DF2FF0" w:rsidRPr="00686E3F" w:rsidRDefault="00DF2FF0" w:rsidP="00686E3F">
      <w:pPr>
        <w:spacing w:before="120" w:after="0" w:line="240" w:lineRule="auto"/>
        <w:ind w:firstLine="720"/>
        <w:jc w:val="both"/>
        <w:rPr>
          <w:color w:val="000000"/>
          <w:szCs w:val="28"/>
        </w:rPr>
      </w:pPr>
      <w:r w:rsidRPr="00686E3F">
        <w:rPr>
          <w:color w:val="000000"/>
          <w:szCs w:val="28"/>
        </w:rPr>
        <w:t xml:space="preserve">2. Đảng đoàn Hội đồng nhân dân tỉnh: Xem xét, chỉ đạo Hội đồng nhân dân tỉnh thông qua các cơ chế, chính sách trong quá trình thực hiện </w:t>
      </w:r>
      <w:r w:rsidR="00224B91" w:rsidRPr="00686E3F">
        <w:rPr>
          <w:color w:val="000000"/>
          <w:szCs w:val="28"/>
        </w:rPr>
        <w:t>chính sách tiền lương mới</w:t>
      </w:r>
      <w:r w:rsidR="000B7E7A">
        <w:rPr>
          <w:color w:val="000000"/>
          <w:szCs w:val="28"/>
        </w:rPr>
        <w:t>.</w:t>
      </w:r>
    </w:p>
    <w:p w:rsidR="0044039C" w:rsidRDefault="00DF2FF0" w:rsidP="0044039C">
      <w:pPr>
        <w:spacing w:before="120" w:after="0" w:line="240" w:lineRule="auto"/>
        <w:ind w:firstLine="720"/>
        <w:jc w:val="both"/>
        <w:rPr>
          <w:color w:val="000000"/>
          <w:szCs w:val="28"/>
        </w:rPr>
      </w:pPr>
      <w:r w:rsidRPr="00686E3F">
        <w:rPr>
          <w:color w:val="000000"/>
          <w:szCs w:val="28"/>
        </w:rPr>
        <w:t>3. Ban Cán sự Đảng Ủy ban nhân dân tỉnh: Chỉ đạ</w:t>
      </w:r>
      <w:r w:rsidR="000B7E7A">
        <w:rPr>
          <w:color w:val="000000"/>
          <w:szCs w:val="28"/>
        </w:rPr>
        <w:t>o Ủy</w:t>
      </w:r>
      <w:r w:rsidRPr="00686E3F">
        <w:rPr>
          <w:color w:val="000000"/>
          <w:szCs w:val="28"/>
        </w:rPr>
        <w:t xml:space="preserve"> ban nhân dân tỉnh rà soát, xây dựng Kế hoạch cụ thể tổ chức thực hiện Chương trình hành động thực hiện Nghị quyết số </w:t>
      </w:r>
      <w:r w:rsidR="0044039C">
        <w:rPr>
          <w:color w:val="000000"/>
          <w:szCs w:val="28"/>
        </w:rPr>
        <w:t>27-NQ/TW khóa XII và chỉ đạo, hướng</w:t>
      </w:r>
      <w:r w:rsidR="00D00733">
        <w:rPr>
          <w:color w:val="000000"/>
          <w:szCs w:val="28"/>
        </w:rPr>
        <w:t xml:space="preserve"> dẫn</w:t>
      </w:r>
      <w:r w:rsidR="00224B91" w:rsidRPr="00686E3F">
        <w:rPr>
          <w:color w:val="000000"/>
          <w:szCs w:val="28"/>
        </w:rPr>
        <w:t xml:space="preserve"> cơ quan, tổ chức đơn vị liên quan để thực hiện các nhiệm vụ</w:t>
      </w:r>
      <w:r w:rsidR="0044039C">
        <w:rPr>
          <w:color w:val="000000"/>
          <w:szCs w:val="28"/>
        </w:rPr>
        <w:t>, giải pháp tại Mục II</w:t>
      </w:r>
      <w:r w:rsidR="00D00733">
        <w:rPr>
          <w:color w:val="000000"/>
          <w:szCs w:val="28"/>
        </w:rPr>
        <w:t xml:space="preserve"> nêu trên</w:t>
      </w:r>
      <w:r w:rsidR="0044039C">
        <w:rPr>
          <w:color w:val="000000"/>
          <w:szCs w:val="28"/>
        </w:rPr>
        <w:t>.</w:t>
      </w:r>
    </w:p>
    <w:p w:rsidR="00DF2FF0" w:rsidRPr="00686E3F" w:rsidRDefault="00DF2FF0" w:rsidP="0044039C">
      <w:pPr>
        <w:spacing w:before="120" w:after="0" w:line="240" w:lineRule="auto"/>
        <w:ind w:firstLine="720"/>
        <w:jc w:val="both"/>
        <w:rPr>
          <w:color w:val="000000"/>
          <w:szCs w:val="28"/>
        </w:rPr>
      </w:pPr>
      <w:r w:rsidRPr="00686E3F">
        <w:rPr>
          <w:color w:val="000000"/>
          <w:szCs w:val="28"/>
        </w:rPr>
        <w:t>4. Ban Tuyên giáo Tỉnh ủy: Xây dựng kế hoạch tuyên truyền sâu rộng nội dung Nghị quyết nhằm tạo thống nhất về nhận thức, trách nhiệm và tổ chức thực hiện đồng bộ, hiệu quả trong hệ thống chính trị.</w:t>
      </w:r>
    </w:p>
    <w:p w:rsidR="00DF2FF0" w:rsidRPr="00686E3F" w:rsidRDefault="00DF2FF0" w:rsidP="00686E3F">
      <w:pPr>
        <w:spacing w:before="120" w:after="0" w:line="240" w:lineRule="auto"/>
        <w:ind w:firstLine="720"/>
        <w:jc w:val="both"/>
        <w:rPr>
          <w:color w:val="000000"/>
          <w:szCs w:val="28"/>
        </w:rPr>
      </w:pPr>
      <w:r w:rsidRPr="00686E3F">
        <w:rPr>
          <w:color w:val="000000"/>
          <w:szCs w:val="28"/>
        </w:rPr>
        <w:lastRenderedPageBreak/>
        <w:t xml:space="preserve">5. Ủy ban Kiểm tra Tỉnh ủy thường xuyên kiểm tra, giám sát tình hình triển khai Chương trình hành động thực hiện Nghị quyết số </w:t>
      </w:r>
      <w:r w:rsidR="00F57587" w:rsidRPr="00686E3F">
        <w:rPr>
          <w:color w:val="000000"/>
          <w:szCs w:val="28"/>
        </w:rPr>
        <w:t>27</w:t>
      </w:r>
      <w:r w:rsidRPr="00686E3F">
        <w:rPr>
          <w:color w:val="000000"/>
          <w:szCs w:val="28"/>
        </w:rPr>
        <w:t>-NQ/TW.</w:t>
      </w:r>
    </w:p>
    <w:p w:rsidR="00DF2FF0" w:rsidRPr="00686E3F" w:rsidRDefault="00DF2FF0" w:rsidP="00686E3F">
      <w:pPr>
        <w:spacing w:before="120" w:after="0" w:line="240" w:lineRule="auto"/>
        <w:ind w:firstLine="720"/>
        <w:jc w:val="both"/>
        <w:rPr>
          <w:color w:val="000000"/>
          <w:szCs w:val="28"/>
        </w:rPr>
      </w:pPr>
      <w:r w:rsidRPr="00686E3F">
        <w:rPr>
          <w:color w:val="000000"/>
          <w:szCs w:val="28"/>
        </w:rPr>
        <w:t xml:space="preserve">6. Ban Tổ chức Tỉnh ủy chủ trì, phối hợp với các cơ quan chuyên trách tham mưu, giúp việc Tỉnh ủy </w:t>
      </w:r>
      <w:r w:rsidR="00A55C02">
        <w:rPr>
          <w:color w:val="000000"/>
          <w:szCs w:val="28"/>
        </w:rPr>
        <w:t xml:space="preserve">triển khai thực hiện các giải pháp tại mục II và </w:t>
      </w:r>
      <w:r w:rsidRPr="00686E3F">
        <w:rPr>
          <w:color w:val="000000"/>
          <w:szCs w:val="28"/>
        </w:rPr>
        <w:t>có trách nhiệm theo dõi, đôn đốc việc thực hiện Nghị quyết, Chương trình hành động, định kỳ báo cáo Ban Thường vụ Tỉnh ủy và Ban Chấp hành Đảng bộ tỉnh.</w:t>
      </w:r>
    </w:p>
    <w:p w:rsidR="00DF2FF0" w:rsidRPr="00686E3F" w:rsidRDefault="00DF2FF0" w:rsidP="00686E3F">
      <w:pPr>
        <w:spacing w:before="120" w:after="0" w:line="240" w:lineRule="auto"/>
        <w:ind w:firstLine="720"/>
        <w:jc w:val="both"/>
        <w:rPr>
          <w:color w:val="000000"/>
          <w:szCs w:val="28"/>
        </w:rPr>
      </w:pPr>
      <w:r w:rsidRPr="00686E3F">
        <w:rPr>
          <w:color w:val="000000"/>
          <w:szCs w:val="28"/>
        </w:rPr>
        <w:t xml:space="preserve">7. Cấp ủy, Hội đồng nhân dân, Ủy ban nhân dân các huyện, thành phố, thị xã tập trung lãnh đạo, chỉ đạo việc thực hiện </w:t>
      </w:r>
      <w:r w:rsidR="00550B26" w:rsidRPr="00686E3F">
        <w:rPr>
          <w:color w:val="000000"/>
          <w:szCs w:val="28"/>
        </w:rPr>
        <w:t>nghiêm các nội dung, giải pháp để tạo tiền đề thực hiện chính sách tiền lương mớ</w:t>
      </w:r>
      <w:r w:rsidR="00203BC4" w:rsidRPr="00686E3F">
        <w:rPr>
          <w:color w:val="000000"/>
          <w:szCs w:val="28"/>
        </w:rPr>
        <w:t>i.</w:t>
      </w:r>
    </w:p>
    <w:p w:rsidR="00DF2FF0" w:rsidRPr="00686E3F" w:rsidRDefault="00DF2FF0" w:rsidP="00686E3F">
      <w:pPr>
        <w:spacing w:before="120" w:after="0" w:line="240" w:lineRule="auto"/>
        <w:ind w:firstLine="720"/>
        <w:jc w:val="both"/>
        <w:rPr>
          <w:color w:val="000000"/>
          <w:szCs w:val="28"/>
        </w:rPr>
      </w:pPr>
      <w:r w:rsidRPr="00686E3F">
        <w:rPr>
          <w:color w:val="000000"/>
          <w:szCs w:val="28"/>
        </w:rPr>
        <w:t>Trong quá trình tổ chức thực hiện Chương trình này, nếu thấy cần sửa đổi, bổ sung những nội dung cụ thể, các cơ quan, đơn vị chủ động đề xuất, gửi Ban Cán sự Đảng Uỷ ban nhân dân tỉnh</w:t>
      </w:r>
      <w:r w:rsidR="008C2A91">
        <w:rPr>
          <w:color w:val="000000"/>
          <w:szCs w:val="28"/>
        </w:rPr>
        <w:t>, Ban Tổ chức Tỉnh ủy để</w:t>
      </w:r>
      <w:r w:rsidRPr="00686E3F">
        <w:rPr>
          <w:color w:val="000000"/>
          <w:szCs w:val="28"/>
        </w:rPr>
        <w:t xml:space="preserve"> tổng hợp và báo cáo Ban Thường vụ Tỉnh ủy xem xét, quyết định./.</w:t>
      </w:r>
    </w:p>
    <w:p w:rsidR="00DF2FF0" w:rsidRDefault="00DF2FF0" w:rsidP="00DF2FF0">
      <w:pPr>
        <w:spacing w:before="120" w:after="0" w:line="240" w:lineRule="auto"/>
        <w:ind w:firstLine="720"/>
        <w:jc w:val="both"/>
        <w:rPr>
          <w:sz w:val="2"/>
          <w:szCs w:val="28"/>
        </w:rPr>
      </w:pPr>
    </w:p>
    <w:p w:rsidR="00DF2FF0" w:rsidRPr="004F7B14" w:rsidRDefault="00DF2FF0" w:rsidP="00DF2FF0">
      <w:pPr>
        <w:spacing w:before="120" w:after="0" w:line="240" w:lineRule="auto"/>
        <w:ind w:firstLine="720"/>
        <w:jc w:val="both"/>
        <w:rPr>
          <w:sz w:val="2"/>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960"/>
      </w:tblGrid>
      <w:tr w:rsidR="00DF2FF0" w:rsidRPr="00DF2FF0" w:rsidTr="00F4429B">
        <w:trPr>
          <w:trHeight w:val="2028"/>
        </w:trPr>
        <w:tc>
          <w:tcPr>
            <w:tcW w:w="5778" w:type="dxa"/>
            <w:tcBorders>
              <w:top w:val="nil"/>
              <w:left w:val="nil"/>
              <w:bottom w:val="nil"/>
              <w:right w:val="nil"/>
            </w:tcBorders>
            <w:hideMark/>
          </w:tcPr>
          <w:p w:rsidR="00DF2FF0" w:rsidRPr="007C618B" w:rsidRDefault="00DF2FF0" w:rsidP="00DF2FF0">
            <w:pPr>
              <w:spacing w:after="0" w:line="240" w:lineRule="auto"/>
              <w:jc w:val="both"/>
              <w:rPr>
                <w:sz w:val="24"/>
                <w:szCs w:val="24"/>
              </w:rPr>
            </w:pPr>
            <w:r w:rsidRPr="007C618B">
              <w:rPr>
                <w:sz w:val="24"/>
                <w:szCs w:val="24"/>
                <w:u w:val="single"/>
              </w:rPr>
              <w:t>Nơi nhận</w:t>
            </w:r>
            <w:r w:rsidRPr="007C618B">
              <w:rPr>
                <w:sz w:val="24"/>
                <w:szCs w:val="24"/>
              </w:rPr>
              <w:t xml:space="preserve">: </w:t>
            </w:r>
          </w:p>
          <w:p w:rsidR="00DF2FF0" w:rsidRPr="007C618B" w:rsidRDefault="004B6053" w:rsidP="00DF2FF0">
            <w:pPr>
              <w:spacing w:after="0" w:line="240" w:lineRule="auto"/>
              <w:jc w:val="both"/>
              <w:rPr>
                <w:sz w:val="22"/>
              </w:rPr>
            </w:pPr>
            <w:r>
              <w:rPr>
                <w:noProof/>
                <w:sz w:val="22"/>
              </w:rPr>
              <mc:AlternateContent>
                <mc:Choice Requires="wps">
                  <w:drawing>
                    <wp:anchor distT="0" distB="0" distL="114300" distR="114300" simplePos="0" relativeHeight="251658240" behindDoc="0" locked="0" layoutInCell="1" allowOverlap="1">
                      <wp:simplePos x="0" y="0"/>
                      <wp:positionH relativeFrom="column">
                        <wp:posOffset>2597150</wp:posOffset>
                      </wp:positionH>
                      <wp:positionV relativeFrom="paragraph">
                        <wp:posOffset>49530</wp:posOffset>
                      </wp:positionV>
                      <wp:extent cx="90805" cy="425450"/>
                      <wp:effectExtent l="0" t="0" r="23495"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25450"/>
                              </a:xfrm>
                              <a:prstGeom prst="rightBrace">
                                <a:avLst>
                                  <a:gd name="adj1" fmla="val 390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04.5pt;margin-top:3.9pt;width:7.15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"/>
                  </w:pict>
                </mc:Fallback>
              </mc:AlternateContent>
            </w:r>
            <w:r w:rsidR="00DF2FF0" w:rsidRPr="007C618B">
              <w:rPr>
                <w:sz w:val="22"/>
              </w:rPr>
              <w:t xml:space="preserve">- Bộ Chính trị, Ban Bí thư Trung ương Đảng, </w:t>
            </w:r>
          </w:p>
          <w:p w:rsidR="00DF2FF0" w:rsidRPr="007C618B" w:rsidRDefault="00DF2FF0" w:rsidP="00DF2FF0">
            <w:pPr>
              <w:spacing w:after="0" w:line="240" w:lineRule="auto"/>
              <w:jc w:val="both"/>
              <w:rPr>
                <w:sz w:val="22"/>
              </w:rPr>
            </w:pPr>
            <w:r w:rsidRPr="007C618B">
              <w:rPr>
                <w:sz w:val="22"/>
              </w:rPr>
              <w:t>- Các ban Đảng, Ủy ban Kiểm tra,                      (báo cáo)</w:t>
            </w:r>
          </w:p>
          <w:p w:rsidR="00DF2FF0" w:rsidRPr="007C618B" w:rsidRDefault="00DF2FF0" w:rsidP="00DF2FF0">
            <w:pPr>
              <w:spacing w:after="0" w:line="240" w:lineRule="auto"/>
              <w:jc w:val="both"/>
              <w:rPr>
                <w:sz w:val="22"/>
              </w:rPr>
            </w:pPr>
            <w:r w:rsidRPr="007C618B">
              <w:rPr>
                <w:sz w:val="22"/>
              </w:rPr>
              <w:t xml:space="preserve">  Văn phòng Trung ương Đảng, </w:t>
            </w:r>
          </w:p>
          <w:p w:rsidR="00DF2FF0" w:rsidRPr="007C618B" w:rsidRDefault="00DF2FF0" w:rsidP="00DF2FF0">
            <w:pPr>
              <w:spacing w:after="0" w:line="240" w:lineRule="auto"/>
              <w:jc w:val="both"/>
              <w:rPr>
                <w:sz w:val="22"/>
              </w:rPr>
            </w:pPr>
            <w:r w:rsidRPr="007C618B">
              <w:rPr>
                <w:sz w:val="22"/>
              </w:rPr>
              <w:t>- Các đảng đoàn, ban cán sự đảng,</w:t>
            </w:r>
          </w:p>
          <w:p w:rsidR="00DF2FF0" w:rsidRPr="007C618B" w:rsidRDefault="00DF2FF0" w:rsidP="00DF2FF0">
            <w:pPr>
              <w:spacing w:after="0" w:line="240" w:lineRule="auto"/>
              <w:jc w:val="both"/>
              <w:rPr>
                <w:sz w:val="22"/>
              </w:rPr>
            </w:pPr>
            <w:r w:rsidRPr="007C618B">
              <w:rPr>
                <w:sz w:val="22"/>
              </w:rPr>
              <w:t xml:space="preserve">- Các sở, ban, ngành, đoàn thể cấp tỉnh, </w:t>
            </w:r>
          </w:p>
          <w:p w:rsidR="00DF2FF0" w:rsidRPr="007C618B" w:rsidRDefault="00DF2FF0" w:rsidP="00DF2FF0">
            <w:pPr>
              <w:spacing w:after="0" w:line="240" w:lineRule="auto"/>
              <w:jc w:val="both"/>
              <w:rPr>
                <w:sz w:val="22"/>
              </w:rPr>
            </w:pPr>
            <w:r w:rsidRPr="007C618B">
              <w:rPr>
                <w:sz w:val="22"/>
              </w:rPr>
              <w:t xml:space="preserve">- Các huyện, thành, thị ủy, đảng ủy trực thuộc, </w:t>
            </w:r>
          </w:p>
          <w:p w:rsidR="00DF2FF0" w:rsidRPr="007C618B" w:rsidRDefault="00DF2FF0" w:rsidP="00DF2FF0">
            <w:pPr>
              <w:spacing w:after="0" w:line="240" w:lineRule="auto"/>
              <w:jc w:val="both"/>
              <w:rPr>
                <w:sz w:val="22"/>
              </w:rPr>
            </w:pPr>
            <w:r w:rsidRPr="007C618B">
              <w:rPr>
                <w:sz w:val="22"/>
              </w:rPr>
              <w:t xml:space="preserve">- Các đồng chí Tỉnh ủy viên, </w:t>
            </w:r>
          </w:p>
          <w:p w:rsidR="00DF2FF0" w:rsidRPr="00DF2FF0" w:rsidRDefault="00DF2FF0" w:rsidP="00DF2FF0">
            <w:pPr>
              <w:spacing w:after="0" w:line="240" w:lineRule="auto"/>
              <w:jc w:val="both"/>
              <w:rPr>
                <w:i/>
                <w:szCs w:val="28"/>
              </w:rPr>
            </w:pPr>
            <w:r w:rsidRPr="007C618B">
              <w:rPr>
                <w:sz w:val="22"/>
              </w:rPr>
              <w:t>- Lưu.</w:t>
            </w:r>
          </w:p>
        </w:tc>
        <w:tc>
          <w:tcPr>
            <w:tcW w:w="3960" w:type="dxa"/>
            <w:tcBorders>
              <w:top w:val="nil"/>
              <w:left w:val="nil"/>
              <w:bottom w:val="nil"/>
              <w:right w:val="nil"/>
            </w:tcBorders>
            <w:hideMark/>
          </w:tcPr>
          <w:p w:rsidR="00DF2FF0" w:rsidRPr="000B7E7A" w:rsidRDefault="00DF2FF0" w:rsidP="00006D6B">
            <w:pPr>
              <w:spacing w:after="0" w:line="240" w:lineRule="auto"/>
              <w:rPr>
                <w:b/>
                <w:sz w:val="26"/>
                <w:szCs w:val="26"/>
              </w:rPr>
            </w:pPr>
            <w:r w:rsidRPr="000B7E7A">
              <w:rPr>
                <w:b/>
                <w:sz w:val="26"/>
                <w:szCs w:val="26"/>
              </w:rPr>
              <w:t xml:space="preserve">T/M </w:t>
            </w:r>
            <w:r w:rsidR="00F4429B" w:rsidRPr="000B7E7A">
              <w:rPr>
                <w:b/>
                <w:sz w:val="26"/>
                <w:szCs w:val="26"/>
              </w:rPr>
              <w:t>BCH ĐẢNG BỘ TỈNH</w:t>
            </w:r>
          </w:p>
          <w:p w:rsidR="00DF2FF0" w:rsidRPr="00DF2FF0" w:rsidRDefault="00DF2FF0" w:rsidP="00006D6B">
            <w:pPr>
              <w:spacing w:after="0" w:line="240" w:lineRule="auto"/>
              <w:ind w:left="720"/>
              <w:rPr>
                <w:szCs w:val="28"/>
              </w:rPr>
            </w:pPr>
            <w:r w:rsidRPr="00DF2FF0">
              <w:rPr>
                <w:szCs w:val="28"/>
              </w:rPr>
              <w:t>BÍ THƯ</w:t>
            </w:r>
          </w:p>
          <w:p w:rsidR="00DF2FF0" w:rsidRPr="00DF2FF0" w:rsidRDefault="00DF2FF0" w:rsidP="00DF2FF0">
            <w:pPr>
              <w:spacing w:after="0" w:line="240" w:lineRule="auto"/>
              <w:ind w:left="720"/>
              <w:jc w:val="center"/>
              <w:rPr>
                <w:b/>
                <w:szCs w:val="28"/>
              </w:rPr>
            </w:pPr>
          </w:p>
          <w:p w:rsidR="00DF2FF0" w:rsidRPr="00DF2FF0" w:rsidRDefault="00DF2FF0" w:rsidP="00DF2FF0">
            <w:pPr>
              <w:spacing w:after="0" w:line="240" w:lineRule="auto"/>
              <w:ind w:left="720"/>
              <w:jc w:val="center"/>
              <w:rPr>
                <w:b/>
                <w:szCs w:val="28"/>
              </w:rPr>
            </w:pPr>
          </w:p>
          <w:p w:rsidR="00843C55" w:rsidRPr="00DF2FF0" w:rsidRDefault="00843C55" w:rsidP="00DF2FF0">
            <w:pPr>
              <w:spacing w:after="0" w:line="240" w:lineRule="auto"/>
              <w:ind w:left="720"/>
              <w:jc w:val="center"/>
              <w:rPr>
                <w:b/>
                <w:sz w:val="18"/>
                <w:szCs w:val="28"/>
              </w:rPr>
            </w:pPr>
          </w:p>
          <w:p w:rsidR="00DF2FF0" w:rsidRPr="00DF2FF0" w:rsidRDefault="00DF2FF0" w:rsidP="00DF2FF0">
            <w:pPr>
              <w:spacing w:after="0" w:line="240" w:lineRule="auto"/>
              <w:ind w:left="720"/>
              <w:jc w:val="center"/>
              <w:rPr>
                <w:b/>
                <w:szCs w:val="28"/>
              </w:rPr>
            </w:pPr>
          </w:p>
          <w:p w:rsidR="00F4429B" w:rsidRDefault="00F4429B" w:rsidP="00DF2FF0">
            <w:pPr>
              <w:spacing w:after="0" w:line="240" w:lineRule="auto"/>
              <w:ind w:left="720"/>
              <w:jc w:val="center"/>
              <w:rPr>
                <w:b/>
                <w:szCs w:val="28"/>
              </w:rPr>
            </w:pPr>
          </w:p>
          <w:p w:rsidR="00DF2FF0" w:rsidRPr="00DF2FF0" w:rsidRDefault="00DF2FF0" w:rsidP="00F4429B">
            <w:pPr>
              <w:spacing w:after="0" w:line="240" w:lineRule="auto"/>
              <w:ind w:left="720"/>
              <w:rPr>
                <w:b/>
                <w:szCs w:val="28"/>
              </w:rPr>
            </w:pPr>
            <w:r w:rsidRPr="00DF2FF0">
              <w:rPr>
                <w:b/>
                <w:szCs w:val="28"/>
              </w:rPr>
              <w:t>Lê Đình Sơn</w:t>
            </w:r>
          </w:p>
        </w:tc>
      </w:tr>
    </w:tbl>
    <w:p w:rsidR="00DF2FF0" w:rsidRPr="00E5437E" w:rsidRDefault="00DF2FF0" w:rsidP="00DF2FF0">
      <w:pPr>
        <w:spacing w:before="120" w:after="0" w:line="240" w:lineRule="auto"/>
        <w:jc w:val="both"/>
        <w:rPr>
          <w:szCs w:val="28"/>
        </w:rPr>
      </w:pPr>
      <w:r>
        <w:rPr>
          <w:szCs w:val="28"/>
        </w:rPr>
        <w:br w:type="textWrapping" w:clear="all"/>
      </w:r>
    </w:p>
    <w:p w:rsidR="00FF70CD" w:rsidRDefault="00FF70CD"/>
    <w:sectPr w:rsidR="00FF70CD" w:rsidSect="00DF2FF0">
      <w:headerReference w:type="default" r:id="rId9"/>
      <w:pgSz w:w="11907" w:h="16840" w:code="9"/>
      <w:pgMar w:top="1134" w:right="708" w:bottom="993"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7AA" w:rsidRDefault="00EA37AA" w:rsidP="00DF2FF0">
      <w:pPr>
        <w:spacing w:after="0" w:line="240" w:lineRule="auto"/>
      </w:pPr>
      <w:r>
        <w:separator/>
      </w:r>
    </w:p>
  </w:endnote>
  <w:endnote w:type="continuationSeparator" w:id="0">
    <w:p w:rsidR="00EA37AA" w:rsidRDefault="00EA37AA" w:rsidP="00DF2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7AA" w:rsidRDefault="00EA37AA" w:rsidP="00DF2FF0">
      <w:pPr>
        <w:spacing w:after="0" w:line="240" w:lineRule="auto"/>
      </w:pPr>
      <w:r>
        <w:separator/>
      </w:r>
    </w:p>
  </w:footnote>
  <w:footnote w:type="continuationSeparator" w:id="0">
    <w:p w:rsidR="00EA37AA" w:rsidRDefault="00EA37AA" w:rsidP="00DF2F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6C" w:rsidRPr="000F3986" w:rsidRDefault="00E60678">
    <w:pPr>
      <w:pStyle w:val="Header"/>
      <w:jc w:val="center"/>
      <w:rPr>
        <w:rFonts w:ascii="Times New Roman" w:hAnsi="Times New Roman"/>
        <w:sz w:val="26"/>
        <w:szCs w:val="26"/>
      </w:rPr>
    </w:pPr>
    <w:r w:rsidRPr="000F3986">
      <w:rPr>
        <w:rFonts w:ascii="Times New Roman" w:hAnsi="Times New Roman"/>
        <w:sz w:val="26"/>
        <w:szCs w:val="26"/>
      </w:rPr>
      <w:fldChar w:fldCharType="begin"/>
    </w:r>
    <w:r w:rsidR="0086756C" w:rsidRPr="000F3986">
      <w:rPr>
        <w:rFonts w:ascii="Times New Roman" w:hAnsi="Times New Roman"/>
        <w:sz w:val="26"/>
        <w:szCs w:val="26"/>
      </w:rPr>
      <w:instrText xml:space="preserve"> PAGE   \* MERGEFORMAT </w:instrText>
    </w:r>
    <w:r w:rsidRPr="000F3986">
      <w:rPr>
        <w:rFonts w:ascii="Times New Roman" w:hAnsi="Times New Roman"/>
        <w:sz w:val="26"/>
        <w:szCs w:val="26"/>
      </w:rPr>
      <w:fldChar w:fldCharType="separate"/>
    </w:r>
    <w:r w:rsidR="004B6053">
      <w:rPr>
        <w:rFonts w:ascii="Times New Roman" w:hAnsi="Times New Roman"/>
        <w:noProof/>
        <w:sz w:val="26"/>
        <w:szCs w:val="26"/>
      </w:rPr>
      <w:t>6</w:t>
    </w:r>
    <w:r w:rsidRPr="000F3986">
      <w:rPr>
        <w:rFonts w:ascii="Times New Roman" w:hAnsi="Times New Roman"/>
        <w:noProof/>
        <w:sz w:val="26"/>
        <w:szCs w:val="26"/>
      </w:rPr>
      <w:fldChar w:fldCharType="end"/>
    </w:r>
  </w:p>
  <w:p w:rsidR="0086756C" w:rsidRDefault="008675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25767"/>
    <w:multiLevelType w:val="hybridMultilevel"/>
    <w:tmpl w:val="A8A2C1BC"/>
    <w:lvl w:ilvl="0" w:tplc="80047F2E">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FF0"/>
    <w:rsid w:val="00006D6B"/>
    <w:rsid w:val="00020DCA"/>
    <w:rsid w:val="00020E5F"/>
    <w:rsid w:val="00031170"/>
    <w:rsid w:val="00036D59"/>
    <w:rsid w:val="00051114"/>
    <w:rsid w:val="00064294"/>
    <w:rsid w:val="00075A30"/>
    <w:rsid w:val="0008660B"/>
    <w:rsid w:val="00090AB8"/>
    <w:rsid w:val="0009464C"/>
    <w:rsid w:val="000B7E7A"/>
    <w:rsid w:val="000E567D"/>
    <w:rsid w:val="000F538A"/>
    <w:rsid w:val="000F575E"/>
    <w:rsid w:val="0011433A"/>
    <w:rsid w:val="00124D14"/>
    <w:rsid w:val="00131A1F"/>
    <w:rsid w:val="00141E00"/>
    <w:rsid w:val="0015597A"/>
    <w:rsid w:val="001B1B5D"/>
    <w:rsid w:val="001B720F"/>
    <w:rsid w:val="001B7E4C"/>
    <w:rsid w:val="001D3DD7"/>
    <w:rsid w:val="001F0C7E"/>
    <w:rsid w:val="00203BC4"/>
    <w:rsid w:val="00217985"/>
    <w:rsid w:val="00224B91"/>
    <w:rsid w:val="002253D9"/>
    <w:rsid w:val="00247287"/>
    <w:rsid w:val="002979F5"/>
    <w:rsid w:val="002C01A8"/>
    <w:rsid w:val="002D2314"/>
    <w:rsid w:val="002D2E7F"/>
    <w:rsid w:val="00305BBC"/>
    <w:rsid w:val="00316B91"/>
    <w:rsid w:val="00320AEC"/>
    <w:rsid w:val="00320C45"/>
    <w:rsid w:val="00331141"/>
    <w:rsid w:val="00340FFF"/>
    <w:rsid w:val="0038434C"/>
    <w:rsid w:val="003E6EC4"/>
    <w:rsid w:val="00424701"/>
    <w:rsid w:val="0044039C"/>
    <w:rsid w:val="004437C8"/>
    <w:rsid w:val="00444E1A"/>
    <w:rsid w:val="00463B45"/>
    <w:rsid w:val="004904D6"/>
    <w:rsid w:val="004A1580"/>
    <w:rsid w:val="004A2AB5"/>
    <w:rsid w:val="004B6053"/>
    <w:rsid w:val="004E2CE0"/>
    <w:rsid w:val="00521EEC"/>
    <w:rsid w:val="005220EC"/>
    <w:rsid w:val="00543321"/>
    <w:rsid w:val="00550B26"/>
    <w:rsid w:val="00556665"/>
    <w:rsid w:val="00560AE0"/>
    <w:rsid w:val="005807FE"/>
    <w:rsid w:val="00580FA3"/>
    <w:rsid w:val="00590C30"/>
    <w:rsid w:val="005B108E"/>
    <w:rsid w:val="005C08C1"/>
    <w:rsid w:val="005D65DC"/>
    <w:rsid w:val="005F6201"/>
    <w:rsid w:val="006054FC"/>
    <w:rsid w:val="00607088"/>
    <w:rsid w:val="00622D8C"/>
    <w:rsid w:val="0062731B"/>
    <w:rsid w:val="00630A97"/>
    <w:rsid w:val="00684B91"/>
    <w:rsid w:val="00686E3F"/>
    <w:rsid w:val="006A25C5"/>
    <w:rsid w:val="006B05D9"/>
    <w:rsid w:val="006D1012"/>
    <w:rsid w:val="006D1FCF"/>
    <w:rsid w:val="006D2006"/>
    <w:rsid w:val="006D4BF1"/>
    <w:rsid w:val="006F2CD0"/>
    <w:rsid w:val="007144FF"/>
    <w:rsid w:val="00715EA5"/>
    <w:rsid w:val="00786591"/>
    <w:rsid w:val="007876D9"/>
    <w:rsid w:val="007A5DED"/>
    <w:rsid w:val="007B64BE"/>
    <w:rsid w:val="007C618B"/>
    <w:rsid w:val="007E518E"/>
    <w:rsid w:val="007E7E1C"/>
    <w:rsid w:val="007F0D22"/>
    <w:rsid w:val="007F5EB5"/>
    <w:rsid w:val="008007B2"/>
    <w:rsid w:val="008044F9"/>
    <w:rsid w:val="00806307"/>
    <w:rsid w:val="00806BB1"/>
    <w:rsid w:val="00843C55"/>
    <w:rsid w:val="00852ACB"/>
    <w:rsid w:val="008574D2"/>
    <w:rsid w:val="0086756C"/>
    <w:rsid w:val="00891AB7"/>
    <w:rsid w:val="00893AFB"/>
    <w:rsid w:val="008A0B6B"/>
    <w:rsid w:val="008A114B"/>
    <w:rsid w:val="008C2A91"/>
    <w:rsid w:val="008D46BE"/>
    <w:rsid w:val="00900AB7"/>
    <w:rsid w:val="00901D0B"/>
    <w:rsid w:val="0091185E"/>
    <w:rsid w:val="00916F53"/>
    <w:rsid w:val="00940C14"/>
    <w:rsid w:val="0095429C"/>
    <w:rsid w:val="00974C93"/>
    <w:rsid w:val="009E4EED"/>
    <w:rsid w:val="00A11D23"/>
    <w:rsid w:val="00A24B06"/>
    <w:rsid w:val="00A47DB9"/>
    <w:rsid w:val="00A55C02"/>
    <w:rsid w:val="00A612BD"/>
    <w:rsid w:val="00A64A74"/>
    <w:rsid w:val="00A827D7"/>
    <w:rsid w:val="00AC3851"/>
    <w:rsid w:val="00AD7F71"/>
    <w:rsid w:val="00B02FAF"/>
    <w:rsid w:val="00B40C63"/>
    <w:rsid w:val="00B65EEF"/>
    <w:rsid w:val="00B70350"/>
    <w:rsid w:val="00B80EC0"/>
    <w:rsid w:val="00B85C4A"/>
    <w:rsid w:val="00B93896"/>
    <w:rsid w:val="00BB2B91"/>
    <w:rsid w:val="00BB3F4D"/>
    <w:rsid w:val="00C07F5E"/>
    <w:rsid w:val="00C25CEE"/>
    <w:rsid w:val="00C3592C"/>
    <w:rsid w:val="00C3775E"/>
    <w:rsid w:val="00C412F0"/>
    <w:rsid w:val="00C84F5F"/>
    <w:rsid w:val="00C92911"/>
    <w:rsid w:val="00CA1730"/>
    <w:rsid w:val="00CA47BC"/>
    <w:rsid w:val="00CB562C"/>
    <w:rsid w:val="00D00733"/>
    <w:rsid w:val="00D20AA1"/>
    <w:rsid w:val="00D21FD7"/>
    <w:rsid w:val="00D407FB"/>
    <w:rsid w:val="00D4702E"/>
    <w:rsid w:val="00D47097"/>
    <w:rsid w:val="00D52570"/>
    <w:rsid w:val="00DD0696"/>
    <w:rsid w:val="00DE3003"/>
    <w:rsid w:val="00DE526A"/>
    <w:rsid w:val="00DF2FF0"/>
    <w:rsid w:val="00E36AE7"/>
    <w:rsid w:val="00E46155"/>
    <w:rsid w:val="00E46B2D"/>
    <w:rsid w:val="00E52F0C"/>
    <w:rsid w:val="00E60678"/>
    <w:rsid w:val="00E700A5"/>
    <w:rsid w:val="00EA37AA"/>
    <w:rsid w:val="00EA587C"/>
    <w:rsid w:val="00EE1543"/>
    <w:rsid w:val="00F17983"/>
    <w:rsid w:val="00F4429B"/>
    <w:rsid w:val="00F51546"/>
    <w:rsid w:val="00F56634"/>
    <w:rsid w:val="00F57430"/>
    <w:rsid w:val="00F57587"/>
    <w:rsid w:val="00F90338"/>
    <w:rsid w:val="00F92705"/>
    <w:rsid w:val="00FB1BB5"/>
    <w:rsid w:val="00FC0AEB"/>
    <w:rsid w:val="00FC26AF"/>
    <w:rsid w:val="00FD00D8"/>
    <w:rsid w:val="00FE152C"/>
    <w:rsid w:val="00FF70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0CD"/>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F2FF0"/>
    <w:pPr>
      <w:spacing w:before="100" w:after="100" w:line="240" w:lineRule="auto"/>
    </w:pPr>
    <w:rPr>
      <w:rFonts w:eastAsia="Times New Roman"/>
      <w:sz w:val="24"/>
      <w:szCs w:val="20"/>
    </w:rPr>
  </w:style>
  <w:style w:type="paragraph" w:styleId="Header">
    <w:name w:val="header"/>
    <w:aliases w:val="h"/>
    <w:basedOn w:val="Normal"/>
    <w:link w:val="HeaderChar"/>
    <w:uiPriority w:val="99"/>
    <w:rsid w:val="00DF2FF0"/>
    <w:pPr>
      <w:tabs>
        <w:tab w:val="center" w:pos="4320"/>
        <w:tab w:val="right" w:pos="8640"/>
      </w:tabs>
      <w:spacing w:after="0" w:line="240" w:lineRule="auto"/>
    </w:pPr>
    <w:rPr>
      <w:rFonts w:ascii=".VnTime" w:eastAsia="Times New Roman" w:hAnsi=".VnTime"/>
      <w:szCs w:val="24"/>
    </w:rPr>
  </w:style>
  <w:style w:type="character" w:customStyle="1" w:styleId="HeaderChar">
    <w:name w:val="Header Char"/>
    <w:aliases w:val="h Char"/>
    <w:link w:val="Header"/>
    <w:uiPriority w:val="99"/>
    <w:rsid w:val="00DF2FF0"/>
    <w:rPr>
      <w:rFonts w:ascii=".VnTime" w:eastAsia="Times New Roman" w:hAnsi=".VnTime" w:cs="Times New Roman"/>
      <w:szCs w:val="24"/>
    </w:rPr>
  </w:style>
  <w:style w:type="character" w:customStyle="1" w:styleId="Bodytext">
    <w:name w:val="Body text_"/>
    <w:link w:val="Bodytext1"/>
    <w:locked/>
    <w:rsid w:val="00DF2FF0"/>
    <w:rPr>
      <w:sz w:val="29"/>
      <w:shd w:val="clear" w:color="auto" w:fill="FFFFFF"/>
    </w:rPr>
  </w:style>
  <w:style w:type="paragraph" w:customStyle="1" w:styleId="Bodytext1">
    <w:name w:val="Body text1"/>
    <w:basedOn w:val="Normal"/>
    <w:link w:val="Bodytext"/>
    <w:rsid w:val="00DF2FF0"/>
    <w:pPr>
      <w:widowControl w:val="0"/>
      <w:shd w:val="clear" w:color="auto" w:fill="FFFFFF"/>
      <w:spacing w:after="120" w:line="240" w:lineRule="atLeast"/>
      <w:ind w:hanging="340"/>
      <w:jc w:val="center"/>
    </w:pPr>
    <w:rPr>
      <w:sz w:val="29"/>
      <w:szCs w:val="20"/>
      <w:shd w:val="clear" w:color="auto" w:fill="FFFFFF"/>
    </w:rPr>
  </w:style>
  <w:style w:type="paragraph" w:styleId="Footer">
    <w:name w:val="footer"/>
    <w:basedOn w:val="Normal"/>
    <w:link w:val="FooterChar"/>
    <w:uiPriority w:val="99"/>
    <w:semiHidden/>
    <w:unhideWhenUsed/>
    <w:rsid w:val="00DF2F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2FF0"/>
  </w:style>
  <w:style w:type="paragraph" w:customStyle="1" w:styleId="vn3">
    <w:name w:val="vn_3"/>
    <w:basedOn w:val="Normal"/>
    <w:rsid w:val="00FC26AF"/>
    <w:pPr>
      <w:spacing w:before="100" w:beforeAutospacing="1" w:after="100" w:afterAutospacing="1" w:line="240" w:lineRule="auto"/>
    </w:pPr>
    <w:rPr>
      <w:rFonts w:eastAsia="Times New Roman"/>
      <w:sz w:val="24"/>
      <w:szCs w:val="24"/>
    </w:rPr>
  </w:style>
  <w:style w:type="character" w:customStyle="1" w:styleId="vn4">
    <w:name w:val="vn_4"/>
    <w:basedOn w:val="DefaultParagraphFont"/>
    <w:rsid w:val="00FC26AF"/>
  </w:style>
  <w:style w:type="paragraph" w:styleId="BalloonText">
    <w:name w:val="Balloon Text"/>
    <w:basedOn w:val="Normal"/>
    <w:link w:val="BalloonTextChar"/>
    <w:uiPriority w:val="99"/>
    <w:semiHidden/>
    <w:unhideWhenUsed/>
    <w:rsid w:val="00940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0CD"/>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F2FF0"/>
    <w:pPr>
      <w:spacing w:before="100" w:after="100" w:line="240" w:lineRule="auto"/>
    </w:pPr>
    <w:rPr>
      <w:rFonts w:eastAsia="Times New Roman"/>
      <w:sz w:val="24"/>
      <w:szCs w:val="20"/>
    </w:rPr>
  </w:style>
  <w:style w:type="paragraph" w:styleId="Header">
    <w:name w:val="header"/>
    <w:aliases w:val="h"/>
    <w:basedOn w:val="Normal"/>
    <w:link w:val="HeaderChar"/>
    <w:uiPriority w:val="99"/>
    <w:rsid w:val="00DF2FF0"/>
    <w:pPr>
      <w:tabs>
        <w:tab w:val="center" w:pos="4320"/>
        <w:tab w:val="right" w:pos="8640"/>
      </w:tabs>
      <w:spacing w:after="0" w:line="240" w:lineRule="auto"/>
    </w:pPr>
    <w:rPr>
      <w:rFonts w:ascii=".VnTime" w:eastAsia="Times New Roman" w:hAnsi=".VnTime"/>
      <w:szCs w:val="24"/>
    </w:rPr>
  </w:style>
  <w:style w:type="character" w:customStyle="1" w:styleId="HeaderChar">
    <w:name w:val="Header Char"/>
    <w:aliases w:val="h Char"/>
    <w:link w:val="Header"/>
    <w:uiPriority w:val="99"/>
    <w:rsid w:val="00DF2FF0"/>
    <w:rPr>
      <w:rFonts w:ascii=".VnTime" w:eastAsia="Times New Roman" w:hAnsi=".VnTime" w:cs="Times New Roman"/>
      <w:szCs w:val="24"/>
    </w:rPr>
  </w:style>
  <w:style w:type="character" w:customStyle="1" w:styleId="Bodytext">
    <w:name w:val="Body text_"/>
    <w:link w:val="Bodytext1"/>
    <w:locked/>
    <w:rsid w:val="00DF2FF0"/>
    <w:rPr>
      <w:sz w:val="29"/>
      <w:shd w:val="clear" w:color="auto" w:fill="FFFFFF"/>
    </w:rPr>
  </w:style>
  <w:style w:type="paragraph" w:customStyle="1" w:styleId="Bodytext1">
    <w:name w:val="Body text1"/>
    <w:basedOn w:val="Normal"/>
    <w:link w:val="Bodytext"/>
    <w:rsid w:val="00DF2FF0"/>
    <w:pPr>
      <w:widowControl w:val="0"/>
      <w:shd w:val="clear" w:color="auto" w:fill="FFFFFF"/>
      <w:spacing w:after="120" w:line="240" w:lineRule="atLeast"/>
      <w:ind w:hanging="340"/>
      <w:jc w:val="center"/>
    </w:pPr>
    <w:rPr>
      <w:sz w:val="29"/>
      <w:szCs w:val="20"/>
      <w:shd w:val="clear" w:color="auto" w:fill="FFFFFF"/>
    </w:rPr>
  </w:style>
  <w:style w:type="paragraph" w:styleId="Footer">
    <w:name w:val="footer"/>
    <w:basedOn w:val="Normal"/>
    <w:link w:val="FooterChar"/>
    <w:uiPriority w:val="99"/>
    <w:semiHidden/>
    <w:unhideWhenUsed/>
    <w:rsid w:val="00DF2F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2FF0"/>
  </w:style>
  <w:style w:type="paragraph" w:customStyle="1" w:styleId="vn3">
    <w:name w:val="vn_3"/>
    <w:basedOn w:val="Normal"/>
    <w:rsid w:val="00FC26AF"/>
    <w:pPr>
      <w:spacing w:before="100" w:beforeAutospacing="1" w:after="100" w:afterAutospacing="1" w:line="240" w:lineRule="auto"/>
    </w:pPr>
    <w:rPr>
      <w:rFonts w:eastAsia="Times New Roman"/>
      <w:sz w:val="24"/>
      <w:szCs w:val="24"/>
    </w:rPr>
  </w:style>
  <w:style w:type="character" w:customStyle="1" w:styleId="vn4">
    <w:name w:val="vn_4"/>
    <w:basedOn w:val="DefaultParagraphFont"/>
    <w:rsid w:val="00FC26AF"/>
  </w:style>
  <w:style w:type="paragraph" w:styleId="BalloonText">
    <w:name w:val="Balloon Text"/>
    <w:basedOn w:val="Normal"/>
    <w:link w:val="BalloonTextChar"/>
    <w:uiPriority w:val="99"/>
    <w:semiHidden/>
    <w:unhideWhenUsed/>
    <w:rsid w:val="00940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209">
      <w:bodyDiv w:val="1"/>
      <w:marLeft w:val="0"/>
      <w:marRight w:val="0"/>
      <w:marTop w:val="0"/>
      <w:marBottom w:val="0"/>
      <w:divBdr>
        <w:top w:val="none" w:sz="0" w:space="0" w:color="auto"/>
        <w:left w:val="none" w:sz="0" w:space="0" w:color="auto"/>
        <w:bottom w:val="none" w:sz="0" w:space="0" w:color="auto"/>
        <w:right w:val="none" w:sz="0" w:space="0" w:color="auto"/>
      </w:divBdr>
    </w:div>
    <w:div w:id="986393667">
      <w:bodyDiv w:val="1"/>
      <w:marLeft w:val="0"/>
      <w:marRight w:val="0"/>
      <w:marTop w:val="0"/>
      <w:marBottom w:val="0"/>
      <w:divBdr>
        <w:top w:val="none" w:sz="0" w:space="0" w:color="auto"/>
        <w:left w:val="none" w:sz="0" w:space="0" w:color="auto"/>
        <w:bottom w:val="none" w:sz="0" w:space="0" w:color="auto"/>
        <w:right w:val="none" w:sz="0" w:space="0" w:color="auto"/>
      </w:divBdr>
    </w:div>
    <w:div w:id="161490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EC5DE-C5C5-45CF-86D9-461D9CEF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2359</Words>
  <Characters>13448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TRANHOAINAM</cp:lastModifiedBy>
  <cp:revision>2</cp:revision>
  <cp:lastPrinted>2018-10-09T10:00:00Z</cp:lastPrinted>
  <dcterms:created xsi:type="dcterms:W3CDTF">2018-10-18T08:31:00Z</dcterms:created>
  <dcterms:modified xsi:type="dcterms:W3CDTF">2018-10-18T08:31:00Z</dcterms:modified>
</cp:coreProperties>
</file>